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330302" w14:textId="57810FBD" w:rsidR="003E16F6" w:rsidRPr="002C6C08" w:rsidRDefault="003E16F6" w:rsidP="003E16F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sidR="000C4A4F">
        <w:rPr>
          <w:rFonts w:ascii="Arial" w:eastAsia="Arial Unicode MS" w:hAnsi="Arial" w:hint="eastAsia"/>
          <w:b/>
          <w:bCs/>
          <w:kern w:val="0"/>
          <w:sz w:val="28"/>
          <w:szCs w:val="28"/>
        </w:rPr>
        <w:t xml:space="preserve"> #1</w:t>
      </w:r>
      <w:r w:rsidR="000C4A4F">
        <w:rPr>
          <w:rFonts w:ascii="Arial" w:eastAsia="Arial Unicode MS" w:hAnsi="Arial"/>
          <w:b/>
          <w:bCs/>
          <w:kern w:val="0"/>
          <w:sz w:val="28"/>
          <w:szCs w:val="28"/>
        </w:rPr>
        <w:t>20</w:t>
      </w:r>
      <w:r w:rsidRPr="002C6C08">
        <w:rPr>
          <w:rFonts w:ascii="Arial" w:eastAsia="Arial Unicode MS" w:hAnsi="Arial"/>
          <w:b/>
          <w:bCs/>
          <w:kern w:val="0"/>
          <w:sz w:val="28"/>
          <w:szCs w:val="28"/>
          <w:lang w:eastAsia="en-US"/>
        </w:rPr>
        <w:tab/>
      </w:r>
      <w:r w:rsidR="00E401F2" w:rsidRPr="00E401F2">
        <w:rPr>
          <w:rFonts w:ascii="Arial" w:eastAsia="Arial Unicode MS" w:hAnsi="Arial"/>
          <w:b/>
          <w:bCs/>
          <w:kern w:val="0"/>
          <w:sz w:val="28"/>
          <w:szCs w:val="28"/>
          <w:lang w:eastAsia="en-US"/>
        </w:rPr>
        <w:t>R2-2212538</w:t>
      </w:r>
    </w:p>
    <w:p w14:paraId="4B0712A2" w14:textId="77777777" w:rsidR="003E16F6" w:rsidRPr="002C6C08" w:rsidRDefault="000C4A4F" w:rsidP="003E16F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 xml:space="preserve">Toulouse, France, </w:t>
      </w:r>
      <w:r w:rsidR="006B2E48">
        <w:rPr>
          <w:rFonts w:ascii="Arial" w:eastAsia="Arial Unicode MS" w:hAnsi="Arial"/>
          <w:b/>
          <w:bCs/>
          <w:kern w:val="0"/>
          <w:sz w:val="24"/>
          <w:szCs w:val="20"/>
        </w:rPr>
        <w:t>1</w:t>
      </w:r>
      <w:r>
        <w:rPr>
          <w:rFonts w:ascii="Arial" w:eastAsia="Arial Unicode MS" w:hAnsi="Arial"/>
          <w:b/>
          <w:bCs/>
          <w:kern w:val="0"/>
          <w:sz w:val="24"/>
          <w:szCs w:val="20"/>
        </w:rPr>
        <w:t>4</w:t>
      </w:r>
      <w:r w:rsidR="003C391C">
        <w:rPr>
          <w:rFonts w:ascii="Arial" w:eastAsia="Arial Unicode MS" w:hAnsi="Arial"/>
          <w:b/>
          <w:bCs/>
          <w:kern w:val="0"/>
          <w:sz w:val="24"/>
          <w:szCs w:val="20"/>
        </w:rPr>
        <w:t xml:space="preserve"> </w:t>
      </w:r>
      <w:r w:rsidR="001D6661">
        <w:rPr>
          <w:rFonts w:ascii="Arial" w:eastAsia="Arial Unicode MS" w:hAnsi="Arial"/>
          <w:b/>
          <w:bCs/>
          <w:kern w:val="0"/>
          <w:sz w:val="24"/>
          <w:szCs w:val="20"/>
        </w:rPr>
        <w:t>–</w:t>
      </w:r>
      <w:r w:rsidR="003E16F6">
        <w:rPr>
          <w:rFonts w:ascii="Arial" w:eastAsia="Arial Unicode MS" w:hAnsi="Arial"/>
          <w:b/>
          <w:bCs/>
          <w:kern w:val="0"/>
          <w:sz w:val="24"/>
          <w:szCs w:val="20"/>
        </w:rPr>
        <w:t xml:space="preserve"> </w:t>
      </w:r>
      <w:r w:rsidR="004C55F8">
        <w:rPr>
          <w:rFonts w:ascii="Arial" w:eastAsia="Arial Unicode MS" w:hAnsi="Arial"/>
          <w:b/>
          <w:bCs/>
          <w:kern w:val="0"/>
          <w:sz w:val="24"/>
          <w:szCs w:val="20"/>
        </w:rPr>
        <w:t>1</w:t>
      </w:r>
      <w:r>
        <w:rPr>
          <w:rFonts w:ascii="Arial" w:eastAsia="Arial Unicode MS" w:hAnsi="Arial"/>
          <w:b/>
          <w:bCs/>
          <w:kern w:val="0"/>
          <w:sz w:val="24"/>
          <w:szCs w:val="20"/>
        </w:rPr>
        <w:t>8</w:t>
      </w:r>
      <w:r w:rsidR="00EB0333">
        <w:rPr>
          <w:rFonts w:ascii="Arial" w:eastAsia="Arial Unicode MS" w:hAnsi="Arial"/>
          <w:b/>
          <w:bCs/>
          <w:kern w:val="0"/>
          <w:sz w:val="24"/>
          <w:szCs w:val="20"/>
        </w:rPr>
        <w:t xml:space="preserve"> </w:t>
      </w:r>
      <w:r>
        <w:rPr>
          <w:rFonts w:ascii="Arial" w:eastAsia="Arial Unicode MS" w:hAnsi="Arial"/>
          <w:b/>
          <w:bCs/>
          <w:kern w:val="0"/>
          <w:sz w:val="24"/>
          <w:szCs w:val="20"/>
        </w:rPr>
        <w:t>November</w:t>
      </w:r>
      <w:r w:rsidR="003E16F6" w:rsidRPr="002C6C08">
        <w:rPr>
          <w:rFonts w:ascii="Arial" w:eastAsia="Arial Unicode MS" w:hAnsi="Arial" w:hint="eastAsia"/>
          <w:b/>
          <w:bCs/>
          <w:kern w:val="0"/>
          <w:sz w:val="24"/>
          <w:szCs w:val="20"/>
        </w:rPr>
        <w:t>,</w:t>
      </w:r>
      <w:r w:rsidR="00697F60">
        <w:rPr>
          <w:rFonts w:ascii="Arial" w:eastAsia="Arial Unicode MS" w:hAnsi="Arial"/>
          <w:b/>
          <w:bCs/>
          <w:kern w:val="0"/>
          <w:sz w:val="24"/>
          <w:szCs w:val="20"/>
        </w:rPr>
        <w:t xml:space="preserve"> 2022</w:t>
      </w:r>
    </w:p>
    <w:p w14:paraId="69629F73" w14:textId="77777777" w:rsidR="003E16F6" w:rsidRPr="00DA2118"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14:paraId="078BED60" w14:textId="77777777" w:rsidR="003E16F6" w:rsidRPr="002C6C08" w:rsidRDefault="003E16F6" w:rsidP="003E16F6">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647621" w:rsidRPr="00647621">
        <w:rPr>
          <w:rFonts w:ascii="Arial" w:eastAsia="Arial Unicode MS" w:hAnsi="Arial" w:cs="Arial"/>
          <w:b/>
          <w:bCs/>
          <w:kern w:val="0"/>
          <w:sz w:val="24"/>
          <w:szCs w:val="20"/>
        </w:rPr>
        <w:t>8.4.2.2</w:t>
      </w:r>
      <w:r w:rsidR="00647621" w:rsidRPr="00647621">
        <w:rPr>
          <w:rFonts w:ascii="Arial" w:eastAsia="Arial Unicode MS" w:hAnsi="Arial" w:cs="Arial"/>
          <w:b/>
          <w:bCs/>
          <w:kern w:val="0"/>
          <w:sz w:val="24"/>
          <w:szCs w:val="20"/>
        </w:rPr>
        <w:tab/>
        <w:t>RRC</w:t>
      </w:r>
    </w:p>
    <w:p w14:paraId="1E1E3340" w14:textId="77777777"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692BC2" w:rsidRPr="00692BC2">
        <w:rPr>
          <w:rFonts w:ascii="Arial" w:eastAsia="Arial Unicode MS" w:hAnsi="Arial" w:cs="Arial"/>
          <w:b/>
          <w:bCs/>
          <w:kern w:val="0"/>
          <w:sz w:val="24"/>
          <w:szCs w:val="20"/>
        </w:rPr>
        <w:t>Discussions on RRC aspects in LTM</w:t>
      </w:r>
    </w:p>
    <w:p w14:paraId="07A0DAA5" w14:textId="77777777" w:rsidR="008D7675" w:rsidRPr="002C6C08" w:rsidRDefault="008D7675" w:rsidP="008D7675">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14:paraId="40F0AEDA" w14:textId="77777777"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Pr="002C6C08">
        <w:rPr>
          <w:rFonts w:ascii="Arial" w:eastAsia="Arial Unicode MS" w:hAnsi="Arial" w:cs="Arial" w:hint="eastAsia"/>
          <w:b/>
          <w:bCs/>
          <w:kern w:val="0"/>
          <w:sz w:val="24"/>
          <w:szCs w:val="20"/>
        </w:rPr>
        <w:t xml:space="preserve"> and Decision</w:t>
      </w:r>
    </w:p>
    <w:p w14:paraId="6C70C2E6" w14:textId="77777777" w:rsidR="003E16F6" w:rsidRPr="002C6C08"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0E1AB73D" w14:textId="62477988" w:rsidR="00FC1D83" w:rsidRPr="002C6C08" w:rsidRDefault="00291CA3" w:rsidP="003E16F6">
      <w:pPr>
        <w:widowControl/>
        <w:rPr>
          <w:rFonts w:ascii="Arial" w:eastAsia="Arial Unicode MS" w:hAnsi="Arial"/>
          <w:kern w:val="0"/>
          <w:sz w:val="20"/>
          <w:szCs w:val="20"/>
        </w:rPr>
      </w:pPr>
      <w:r>
        <w:rPr>
          <w:rFonts w:ascii="Arial" w:eastAsia="Arial Unicode MS" w:hAnsi="Arial"/>
          <w:kern w:val="0"/>
          <w:sz w:val="20"/>
          <w:szCs w:val="20"/>
        </w:rPr>
        <w:t>In RAN2#119bis</w:t>
      </w:r>
      <w:r w:rsidR="009C37AF">
        <w:rPr>
          <w:rFonts w:ascii="Arial" w:eastAsia="Arial Unicode MS" w:hAnsi="Arial"/>
          <w:kern w:val="0"/>
          <w:sz w:val="20"/>
          <w:szCs w:val="20"/>
        </w:rPr>
        <w:t>-</w:t>
      </w:r>
      <w:r>
        <w:rPr>
          <w:rFonts w:ascii="Arial" w:eastAsia="Arial Unicode MS" w:hAnsi="Arial"/>
          <w:kern w:val="0"/>
          <w:sz w:val="20"/>
          <w:szCs w:val="20"/>
        </w:rPr>
        <w:t>e, there were some important agreement</w:t>
      </w:r>
      <w:r w:rsidR="00FC1D83">
        <w:rPr>
          <w:rFonts w:ascii="Arial" w:eastAsia="Arial Unicode MS" w:hAnsi="Arial"/>
          <w:kern w:val="0"/>
          <w:sz w:val="20"/>
          <w:szCs w:val="20"/>
        </w:rPr>
        <w:t>s</w:t>
      </w:r>
      <w:r>
        <w:rPr>
          <w:rFonts w:ascii="Arial" w:eastAsia="Arial Unicode MS" w:hAnsi="Arial"/>
          <w:kern w:val="0"/>
          <w:sz w:val="20"/>
          <w:szCs w:val="20"/>
        </w:rPr>
        <w:t xml:space="preserve"> as basics of the </w:t>
      </w:r>
      <w:r w:rsidR="00CE317C" w:rsidRPr="00CE317C">
        <w:rPr>
          <w:rFonts w:ascii="Arial" w:eastAsia="Arial Unicode MS" w:hAnsi="Arial"/>
          <w:kern w:val="0"/>
          <w:sz w:val="20"/>
          <w:szCs w:val="20"/>
        </w:rPr>
        <w:t xml:space="preserve">L1/L2-triggered mobility </w:t>
      </w:r>
      <w:r w:rsidR="00CE317C">
        <w:rPr>
          <w:rFonts w:ascii="Arial" w:eastAsia="Arial Unicode MS" w:hAnsi="Arial"/>
          <w:kern w:val="0"/>
          <w:sz w:val="20"/>
          <w:szCs w:val="20"/>
        </w:rPr>
        <w:t>(</w:t>
      </w:r>
      <w:r>
        <w:rPr>
          <w:rFonts w:ascii="Arial" w:eastAsia="Arial Unicode MS" w:hAnsi="Arial"/>
          <w:kern w:val="0"/>
          <w:sz w:val="20"/>
          <w:szCs w:val="20"/>
        </w:rPr>
        <w:t>LTM</w:t>
      </w:r>
      <w:r w:rsidR="00CE317C">
        <w:rPr>
          <w:rFonts w:ascii="Arial" w:eastAsia="Arial Unicode MS" w:hAnsi="Arial"/>
          <w:kern w:val="0"/>
          <w:sz w:val="20"/>
          <w:szCs w:val="20"/>
        </w:rPr>
        <w:t>)</w:t>
      </w:r>
      <w:r w:rsidR="00FC1D83">
        <w:rPr>
          <w:rFonts w:ascii="Arial" w:eastAsia="Arial Unicode MS" w:hAnsi="Arial"/>
          <w:kern w:val="0"/>
          <w:sz w:val="20"/>
          <w:szCs w:val="20"/>
        </w:rPr>
        <w:t xml:space="preserve"> </w:t>
      </w:r>
      <w:r w:rsidR="00CE317C">
        <w:rPr>
          <w:rFonts w:ascii="Arial" w:eastAsia="Arial Unicode MS" w:hAnsi="Arial"/>
          <w:kern w:val="0"/>
          <w:sz w:val="20"/>
          <w:szCs w:val="20"/>
        </w:rPr>
        <w:t xml:space="preserve">which includes the followings (as a part of agreements) </w:t>
      </w:r>
      <w:r w:rsidR="00FC1D83">
        <w:rPr>
          <w:rFonts w:ascii="Arial" w:eastAsia="Arial Unicode MS" w:hAnsi="Arial"/>
          <w:kern w:val="0"/>
          <w:sz w:val="20"/>
          <w:szCs w:val="20"/>
        </w:rPr>
        <w:t>[1]</w:t>
      </w:r>
      <w:r>
        <w:rPr>
          <w:rFonts w:ascii="Arial" w:eastAsia="Arial Unicode MS" w:hAnsi="Arial"/>
          <w:kern w:val="0"/>
          <w:sz w:val="20"/>
          <w:szCs w:val="20"/>
        </w:rPr>
        <w:t>.</w:t>
      </w:r>
      <w:r w:rsidR="00CE317C">
        <w:rPr>
          <w:rFonts w:ascii="Arial" w:eastAsia="Arial Unicode MS" w:hAnsi="Arial"/>
          <w:kern w:val="0"/>
          <w:sz w:val="20"/>
          <w:szCs w:val="20"/>
        </w:rPr>
        <w:t xml:space="preserve"> </w:t>
      </w:r>
    </w:p>
    <w:tbl>
      <w:tblPr>
        <w:tblStyle w:val="a9"/>
        <w:tblW w:w="0" w:type="auto"/>
        <w:jc w:val="center"/>
        <w:tblLook w:val="04A0" w:firstRow="1" w:lastRow="0" w:firstColumn="1" w:lastColumn="0" w:noHBand="0" w:noVBand="1"/>
      </w:tblPr>
      <w:tblGrid>
        <w:gridCol w:w="9350"/>
      </w:tblGrid>
      <w:tr w:rsidR="00291CA3" w:rsidRPr="00A13515" w14:paraId="49ACED25" w14:textId="77777777" w:rsidTr="00291CA3">
        <w:trPr>
          <w:jc w:val="center"/>
        </w:trPr>
        <w:tc>
          <w:tcPr>
            <w:tcW w:w="9350" w:type="dxa"/>
          </w:tcPr>
          <w:p w14:paraId="6F244FD2" w14:textId="77777777" w:rsidR="00291CA3" w:rsidRPr="00A13515" w:rsidRDefault="00291CA3" w:rsidP="00291CA3">
            <w:pPr>
              <w:pStyle w:val="Agreement"/>
              <w:ind w:leftChars="168" w:left="713"/>
              <w:rPr>
                <w:sz w:val="18"/>
                <w:szCs w:val="20"/>
                <w:lang w:eastAsia="zh-CN"/>
              </w:rPr>
            </w:pPr>
            <w:r w:rsidRPr="00A13515">
              <w:rPr>
                <w:sz w:val="18"/>
                <w:szCs w:val="20"/>
                <w:lang w:eastAsia="zh-CN"/>
              </w:rPr>
              <w:t>No security update support in Rel-18 with L1/L2 based mobility.</w:t>
            </w:r>
          </w:p>
          <w:p w14:paraId="5F172C2A" w14:textId="77777777" w:rsidR="00291CA3" w:rsidRPr="00ED0DC1" w:rsidRDefault="00291CA3" w:rsidP="00291CA3">
            <w:pPr>
              <w:pStyle w:val="Agreement"/>
              <w:ind w:leftChars="168" w:left="713"/>
              <w:rPr>
                <w:sz w:val="18"/>
                <w:szCs w:val="20"/>
                <w:highlight w:val="yellow"/>
                <w:lang w:eastAsia="zh-CN"/>
              </w:rPr>
            </w:pPr>
            <w:r w:rsidRPr="00ED0DC1">
              <w:rPr>
                <w:sz w:val="18"/>
                <w:szCs w:val="20"/>
                <w:highlight w:val="yellow"/>
                <w:lang w:eastAsia="zh-CN"/>
              </w:rPr>
              <w:t xml:space="preserve">FFS whether ASN.1 decoding and validity/compliance check of candidate cell configuration are performed upon reception of the candidate cells configuration. FFS if this need to be specified. </w:t>
            </w:r>
          </w:p>
          <w:p w14:paraId="17063149" w14:textId="77777777" w:rsidR="00291CA3" w:rsidRPr="00A13515" w:rsidRDefault="00291CA3" w:rsidP="00291CA3">
            <w:pPr>
              <w:pStyle w:val="Agreement"/>
              <w:ind w:leftChars="168" w:left="713"/>
              <w:rPr>
                <w:sz w:val="18"/>
                <w:szCs w:val="20"/>
                <w:lang w:eastAsia="zh-CN"/>
              </w:rPr>
            </w:pPr>
            <w:r w:rsidRPr="00A13515">
              <w:rPr>
                <w:sz w:val="18"/>
                <w:szCs w:val="20"/>
                <w:lang w:eastAsia="zh-CN"/>
              </w:rPr>
              <w:t>For UE processing, the following (not exhaustive) is assumed to be performed after receiving the cell switch command:</w:t>
            </w:r>
          </w:p>
          <w:p w14:paraId="639D71D1" w14:textId="77777777" w:rsidR="00291CA3" w:rsidRPr="00A13515" w:rsidRDefault="00291CA3" w:rsidP="00291CA3">
            <w:pPr>
              <w:pStyle w:val="Agreement"/>
              <w:numPr>
                <w:ilvl w:val="0"/>
                <w:numId w:val="0"/>
              </w:numPr>
              <w:ind w:leftChars="339" w:left="712"/>
              <w:rPr>
                <w:sz w:val="18"/>
                <w:szCs w:val="20"/>
                <w:lang w:eastAsia="zh-CN"/>
              </w:rPr>
            </w:pPr>
            <w:r w:rsidRPr="00A13515">
              <w:rPr>
                <w:sz w:val="18"/>
                <w:szCs w:val="20"/>
                <w:lang w:eastAsia="zh-CN"/>
              </w:rPr>
              <w:t xml:space="preserve">MAC/RLC reset (when configured) </w:t>
            </w:r>
          </w:p>
          <w:p w14:paraId="2A2456E3" w14:textId="77777777" w:rsidR="00291CA3" w:rsidRPr="00A13515" w:rsidRDefault="00291CA3" w:rsidP="00291CA3">
            <w:pPr>
              <w:pStyle w:val="Agreement"/>
              <w:numPr>
                <w:ilvl w:val="0"/>
                <w:numId w:val="0"/>
              </w:numPr>
              <w:ind w:leftChars="339" w:left="712"/>
              <w:rPr>
                <w:sz w:val="18"/>
                <w:szCs w:val="20"/>
                <w:lang w:eastAsia="zh-CN"/>
              </w:rPr>
            </w:pPr>
            <w:r w:rsidRPr="00A13515">
              <w:rPr>
                <w:sz w:val="18"/>
                <w:szCs w:val="20"/>
                <w:lang w:eastAsia="zh-CN"/>
              </w:rPr>
              <w:t xml:space="preserve">RF retuning (e.g. needed for inter-frequency), baseband retuning </w:t>
            </w:r>
          </w:p>
          <w:p w14:paraId="5DCFB50D" w14:textId="77777777" w:rsidR="00291CA3" w:rsidRPr="00A13515" w:rsidRDefault="00291CA3" w:rsidP="00291CA3">
            <w:pPr>
              <w:pStyle w:val="Agreement"/>
              <w:ind w:leftChars="168" w:left="713"/>
              <w:rPr>
                <w:sz w:val="18"/>
                <w:szCs w:val="20"/>
                <w:lang w:eastAsia="zh-CN"/>
              </w:rPr>
            </w:pPr>
            <w:r w:rsidRPr="00A13515">
              <w:rPr>
                <w:sz w:val="18"/>
                <w:szCs w:val="20"/>
                <w:lang w:eastAsia="zh-CN"/>
              </w:rPr>
              <w:t>L1L2 based mobility supports</w:t>
            </w:r>
            <w:r w:rsidRPr="00A13515">
              <w:rPr>
                <w:sz w:val="18"/>
                <w:szCs w:val="20"/>
              </w:rPr>
              <w:t xml:space="preserve"> </w:t>
            </w:r>
            <w:r w:rsidRPr="00A13515">
              <w:rPr>
                <w:sz w:val="18"/>
                <w:szCs w:val="20"/>
                <w:lang w:eastAsia="zh-CN"/>
              </w:rPr>
              <w:t xml:space="preserve">the following </w:t>
            </w:r>
            <w:r w:rsidRPr="00A13515">
              <w:rPr>
                <w:sz w:val="18"/>
                <w:szCs w:val="20"/>
              </w:rPr>
              <w:t>CA scenario</w:t>
            </w:r>
            <w:r w:rsidRPr="00A13515">
              <w:rPr>
                <w:sz w:val="18"/>
                <w:szCs w:val="20"/>
                <w:lang w:eastAsia="zh-CN"/>
              </w:rPr>
              <w:t>s:</w:t>
            </w:r>
          </w:p>
          <w:p w14:paraId="046199DB" w14:textId="77777777" w:rsidR="00291CA3" w:rsidRPr="00A13515" w:rsidRDefault="00291CA3" w:rsidP="00291CA3">
            <w:pPr>
              <w:pStyle w:val="Agreement"/>
              <w:numPr>
                <w:ilvl w:val="0"/>
                <w:numId w:val="0"/>
              </w:numPr>
              <w:ind w:leftChars="339" w:left="712"/>
              <w:rPr>
                <w:sz w:val="18"/>
                <w:szCs w:val="20"/>
                <w:lang w:eastAsia="zh-CN"/>
              </w:rPr>
            </w:pPr>
            <w:r w:rsidRPr="00A13515">
              <w:rPr>
                <w:sz w:val="18"/>
                <w:szCs w:val="20"/>
                <w:lang w:eastAsia="zh-CN"/>
              </w:rPr>
              <w:t>PCell change without SCell change</w:t>
            </w:r>
          </w:p>
          <w:p w14:paraId="613BAEC7" w14:textId="39C93CF2" w:rsidR="00291CA3" w:rsidRPr="00CE317C" w:rsidRDefault="00291CA3" w:rsidP="00CE317C">
            <w:pPr>
              <w:pStyle w:val="Agreement"/>
              <w:numPr>
                <w:ilvl w:val="0"/>
                <w:numId w:val="0"/>
              </w:numPr>
              <w:ind w:leftChars="339" w:left="712"/>
              <w:rPr>
                <w:rFonts w:eastAsia="DengXian"/>
                <w:sz w:val="18"/>
                <w:szCs w:val="20"/>
                <w:lang w:eastAsia="zh-CN"/>
              </w:rPr>
            </w:pPr>
            <w:r w:rsidRPr="00A13515">
              <w:rPr>
                <w:sz w:val="18"/>
                <w:szCs w:val="20"/>
                <w:lang w:eastAsia="zh-CN"/>
              </w:rPr>
              <w:t>PCell change with SCell change</w:t>
            </w:r>
          </w:p>
        </w:tc>
      </w:tr>
    </w:tbl>
    <w:p w14:paraId="28057A89" w14:textId="77777777" w:rsidR="003E16F6" w:rsidRDefault="003E16F6" w:rsidP="003E16F6">
      <w:pPr>
        <w:widowControl/>
        <w:rPr>
          <w:rFonts w:ascii="Arial" w:eastAsia="Arial Unicode MS" w:hAnsi="Arial"/>
          <w:kern w:val="0"/>
          <w:sz w:val="20"/>
          <w:szCs w:val="20"/>
        </w:rPr>
      </w:pPr>
    </w:p>
    <w:tbl>
      <w:tblPr>
        <w:tblStyle w:val="a9"/>
        <w:tblW w:w="0" w:type="auto"/>
        <w:jc w:val="center"/>
        <w:tblLook w:val="04A0" w:firstRow="1" w:lastRow="0" w:firstColumn="1" w:lastColumn="0" w:noHBand="0" w:noVBand="1"/>
      </w:tblPr>
      <w:tblGrid>
        <w:gridCol w:w="9355"/>
      </w:tblGrid>
      <w:tr w:rsidR="00522CF1" w:rsidRPr="00A13515" w14:paraId="15BDD33E" w14:textId="77777777" w:rsidTr="00522CF1">
        <w:trPr>
          <w:jc w:val="center"/>
        </w:trPr>
        <w:tc>
          <w:tcPr>
            <w:tcW w:w="9355" w:type="dxa"/>
          </w:tcPr>
          <w:p w14:paraId="67E16D66" w14:textId="77777777" w:rsidR="00522CF1" w:rsidRPr="00A13515" w:rsidRDefault="00522CF1" w:rsidP="00522CF1">
            <w:pPr>
              <w:pStyle w:val="Agreement"/>
              <w:ind w:leftChars="168" w:left="713"/>
              <w:rPr>
                <w:sz w:val="18"/>
              </w:rPr>
            </w:pPr>
            <w:r w:rsidRPr="00A13515">
              <w:rPr>
                <w:sz w:val="18"/>
              </w:rPr>
              <w:t>A L1/L2 inter-cell mobility candidate (target) configuration is received within an RRC message before the L1/L2 dynamic switch is triggered.</w:t>
            </w:r>
          </w:p>
          <w:p w14:paraId="4E2ED286" w14:textId="77777777" w:rsidR="00522CF1" w:rsidRPr="003A2483" w:rsidRDefault="00522CF1" w:rsidP="00522CF1">
            <w:pPr>
              <w:pStyle w:val="Agreement"/>
              <w:ind w:leftChars="168" w:left="713"/>
              <w:rPr>
                <w:sz w:val="18"/>
                <w:highlight w:val="yellow"/>
              </w:rPr>
            </w:pPr>
            <w:r w:rsidRPr="003A2483">
              <w:rPr>
                <w:sz w:val="18"/>
                <w:highlight w:val="yellow"/>
              </w:rPr>
              <w:t>RAN2 continues the discussion on the RRC models by focusing on Model 1 and Model 2 and stage-3 details.</w:t>
            </w:r>
          </w:p>
          <w:p w14:paraId="754F2ACE" w14:textId="77777777" w:rsidR="00522CF1" w:rsidRPr="00A13515" w:rsidRDefault="00522CF1" w:rsidP="00522CF1">
            <w:pPr>
              <w:pStyle w:val="Agreement"/>
              <w:numPr>
                <w:ilvl w:val="0"/>
                <w:numId w:val="0"/>
              </w:numPr>
              <w:ind w:leftChars="339" w:left="712"/>
              <w:rPr>
                <w:sz w:val="18"/>
              </w:rPr>
            </w:pPr>
            <w:r w:rsidRPr="00A13515">
              <w:rPr>
                <w:sz w:val="18"/>
              </w:rPr>
              <w:t>a.</w:t>
            </w:r>
            <w:r w:rsidRPr="00A13515">
              <w:rPr>
                <w:sz w:val="18"/>
              </w:rPr>
              <w:tab/>
              <w:t>Model 1: One RRCReconfiguration message (or FFS RRCReconfiguration IEs) for each candidate target configuration</w:t>
            </w:r>
          </w:p>
          <w:p w14:paraId="42FA41DF" w14:textId="7AF5C909" w:rsidR="00522CF1" w:rsidRPr="00A13515" w:rsidRDefault="00522CF1" w:rsidP="00522CF1">
            <w:pPr>
              <w:pStyle w:val="Agreement"/>
              <w:numPr>
                <w:ilvl w:val="0"/>
                <w:numId w:val="0"/>
              </w:numPr>
              <w:ind w:leftChars="339" w:left="712"/>
              <w:rPr>
                <w:sz w:val="18"/>
              </w:rPr>
            </w:pPr>
            <w:r w:rsidRPr="00A13515">
              <w:rPr>
                <w:sz w:val="18"/>
              </w:rPr>
              <w:t>b.</w:t>
            </w:r>
            <w:r w:rsidRPr="00A13515">
              <w:rPr>
                <w:sz w:val="18"/>
              </w:rPr>
              <w:tab/>
              <w:t>Model 2: One CellGroupConfig IE (FFS additional IEs) for each candidate target configuration</w:t>
            </w:r>
          </w:p>
        </w:tc>
      </w:tr>
    </w:tbl>
    <w:p w14:paraId="753AAFEF" w14:textId="1929E83B" w:rsidR="00C46F92" w:rsidRDefault="00C46F92" w:rsidP="003E16F6">
      <w:pPr>
        <w:widowControl/>
        <w:rPr>
          <w:rFonts w:ascii="Arial" w:eastAsia="Arial Unicode MS" w:hAnsi="Arial"/>
          <w:kern w:val="0"/>
          <w:sz w:val="20"/>
          <w:szCs w:val="20"/>
        </w:rPr>
      </w:pPr>
    </w:p>
    <w:tbl>
      <w:tblPr>
        <w:tblStyle w:val="a9"/>
        <w:tblW w:w="0" w:type="auto"/>
        <w:jc w:val="center"/>
        <w:tblLook w:val="04A0" w:firstRow="1" w:lastRow="0" w:firstColumn="1" w:lastColumn="0" w:noHBand="0" w:noVBand="1"/>
      </w:tblPr>
      <w:tblGrid>
        <w:gridCol w:w="9355"/>
      </w:tblGrid>
      <w:tr w:rsidR="000A4792" w:rsidRPr="00A13515" w14:paraId="66709A87" w14:textId="77777777" w:rsidTr="005C4945">
        <w:trPr>
          <w:jc w:val="center"/>
        </w:trPr>
        <w:tc>
          <w:tcPr>
            <w:tcW w:w="9355" w:type="dxa"/>
          </w:tcPr>
          <w:p w14:paraId="3055EAA1" w14:textId="77777777" w:rsidR="000A4792" w:rsidRPr="000A4792" w:rsidRDefault="000A4792" w:rsidP="000A4792">
            <w:pPr>
              <w:pStyle w:val="Agreement"/>
              <w:ind w:leftChars="168" w:left="713"/>
              <w:rPr>
                <w:sz w:val="18"/>
                <w:szCs w:val="18"/>
              </w:rPr>
            </w:pPr>
            <w:r w:rsidRPr="000A4792">
              <w:rPr>
                <w:sz w:val="18"/>
                <w:szCs w:val="18"/>
              </w:rPr>
              <w:t>RAN2 assumes that sequential L1L2 cell change between Candidates without RRC reconfiguration can be supported.</w:t>
            </w:r>
          </w:p>
          <w:p w14:paraId="65B4BE7A" w14:textId="63EDED8F" w:rsidR="000A4792" w:rsidRPr="000A4792" w:rsidRDefault="000A4792" w:rsidP="000A4792">
            <w:pPr>
              <w:pStyle w:val="Agreement"/>
              <w:ind w:leftChars="168" w:left="713"/>
              <w:rPr>
                <w:sz w:val="18"/>
                <w:szCs w:val="18"/>
              </w:rPr>
            </w:pPr>
            <w:r w:rsidRPr="000A4792">
              <w:rPr>
                <w:sz w:val="18"/>
                <w:szCs w:val="18"/>
                <w:lang w:val="en-US"/>
              </w:rPr>
              <w:t>RAN2 assumes that candidate cell configuration can only be modified / released by Network (FFS later whether some optimization should be applied e.g. for release).</w:t>
            </w:r>
          </w:p>
          <w:p w14:paraId="01AF5621" w14:textId="77777777" w:rsidR="000A4792" w:rsidRPr="003A2483" w:rsidRDefault="000A4792" w:rsidP="000A4792">
            <w:pPr>
              <w:pStyle w:val="Agreement"/>
              <w:ind w:leftChars="168" w:left="713"/>
              <w:rPr>
                <w:sz w:val="18"/>
                <w:szCs w:val="18"/>
                <w:highlight w:val="yellow"/>
              </w:rPr>
            </w:pPr>
            <w:r w:rsidRPr="003A2483">
              <w:rPr>
                <w:sz w:val="18"/>
                <w:szCs w:val="18"/>
                <w:highlight w:val="yellow"/>
                <w:lang w:val="en-US"/>
              </w:rPr>
              <w:t>For L1L2 mobility will support that candidate configurations are delta configurations on top of a reference configuration. FFS if the reference configuration is a separate reference configuration or e.g. the current configuration</w:t>
            </w:r>
            <w:r w:rsidRPr="003A2483">
              <w:rPr>
                <w:sz w:val="18"/>
                <w:szCs w:val="18"/>
                <w:highlight w:val="yellow"/>
              </w:rPr>
              <w:t>.</w:t>
            </w:r>
          </w:p>
          <w:p w14:paraId="665BAFB5" w14:textId="6BDB8515" w:rsidR="000A4792" w:rsidRPr="000A4792" w:rsidRDefault="000A4792" w:rsidP="000A4792">
            <w:pPr>
              <w:pStyle w:val="Agreement"/>
              <w:ind w:leftChars="168" w:left="713"/>
              <w:rPr>
                <w:sz w:val="18"/>
              </w:rPr>
            </w:pPr>
            <w:r w:rsidRPr="000A4792">
              <w:rPr>
                <w:sz w:val="18"/>
                <w:szCs w:val="18"/>
              </w:rPr>
              <w:t xml:space="preserve">For L1L2 mobility, </w:t>
            </w:r>
            <w:r w:rsidRPr="000A4792">
              <w:rPr>
                <w:sz w:val="18"/>
                <w:szCs w:val="18"/>
                <w:lang w:val="en-US"/>
              </w:rPr>
              <w:t>Target Pcell/SCell can be current SCell/PCell, i.e., current SCell/PCell can be configured as candidates</w:t>
            </w:r>
          </w:p>
        </w:tc>
      </w:tr>
    </w:tbl>
    <w:p w14:paraId="4C23EC7B" w14:textId="77777777" w:rsidR="000A4792" w:rsidRDefault="000A4792" w:rsidP="003E16F6">
      <w:pPr>
        <w:widowControl/>
        <w:rPr>
          <w:rFonts w:ascii="Arial" w:eastAsia="Arial Unicode MS" w:hAnsi="Arial"/>
          <w:kern w:val="0"/>
          <w:sz w:val="20"/>
          <w:szCs w:val="20"/>
        </w:rPr>
      </w:pPr>
    </w:p>
    <w:p w14:paraId="3296F161" w14:textId="3FAC063A" w:rsidR="00823FE6" w:rsidRPr="002C6C08" w:rsidRDefault="004C5CCB" w:rsidP="003E16F6">
      <w:pPr>
        <w:widowControl/>
        <w:rPr>
          <w:rFonts w:ascii="Arial" w:eastAsia="Arial Unicode MS" w:hAnsi="Arial"/>
          <w:kern w:val="0"/>
          <w:sz w:val="20"/>
          <w:szCs w:val="20"/>
        </w:rPr>
      </w:pPr>
      <w:r>
        <w:rPr>
          <w:rFonts w:ascii="Arial" w:eastAsia="Arial Unicode MS" w:hAnsi="Arial" w:hint="eastAsia"/>
          <w:kern w:val="0"/>
          <w:sz w:val="20"/>
          <w:szCs w:val="20"/>
        </w:rPr>
        <w:t>T</w:t>
      </w:r>
      <w:r>
        <w:rPr>
          <w:rFonts w:ascii="Arial" w:eastAsia="Arial Unicode MS" w:hAnsi="Arial"/>
          <w:kern w:val="0"/>
          <w:sz w:val="20"/>
          <w:szCs w:val="20"/>
        </w:rPr>
        <w:t>here are still some FFS</w:t>
      </w:r>
      <w:r w:rsidR="005D5E32">
        <w:rPr>
          <w:rFonts w:ascii="Arial" w:eastAsia="Arial Unicode MS" w:hAnsi="Arial"/>
          <w:kern w:val="0"/>
          <w:sz w:val="20"/>
          <w:szCs w:val="20"/>
        </w:rPr>
        <w:t xml:space="preserve"> related to RRC</w:t>
      </w:r>
      <w:r>
        <w:rPr>
          <w:rFonts w:ascii="Arial" w:eastAsia="Arial Unicode MS" w:hAnsi="Arial"/>
          <w:kern w:val="0"/>
          <w:sz w:val="20"/>
          <w:szCs w:val="20"/>
        </w:rPr>
        <w:t>. In this contributions, we discuss those issues and provide our views.</w:t>
      </w:r>
    </w:p>
    <w:p w14:paraId="63B6D1E1" w14:textId="77777777" w:rsidR="003E16F6" w:rsidRPr="002C6C08" w:rsidRDefault="003E16F6" w:rsidP="003E16F6">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14:paraId="779E950D" w14:textId="79200C71" w:rsidR="003E16F6" w:rsidRPr="002C6C08" w:rsidRDefault="00720DB2" w:rsidP="003E16F6">
      <w:pPr>
        <w:widowControl/>
        <w:spacing w:after="120" w:line="240" w:lineRule="atLeast"/>
        <w:rPr>
          <w:rFonts w:ascii="Arial" w:hAnsi="Arial"/>
          <w:kern w:val="0"/>
          <w:sz w:val="28"/>
          <w:szCs w:val="20"/>
        </w:rPr>
      </w:pPr>
      <w:r>
        <w:rPr>
          <w:rFonts w:ascii="Arial" w:hAnsi="Arial" w:hint="eastAsia"/>
          <w:kern w:val="0"/>
          <w:sz w:val="28"/>
          <w:szCs w:val="20"/>
        </w:rPr>
        <w:t>2.1</w:t>
      </w:r>
      <w:r>
        <w:rPr>
          <w:rFonts w:ascii="Arial" w:hAnsi="Arial" w:hint="eastAsia"/>
          <w:kern w:val="0"/>
          <w:sz w:val="28"/>
          <w:szCs w:val="20"/>
        </w:rPr>
        <w:tab/>
      </w:r>
      <w:r>
        <w:rPr>
          <w:rFonts w:ascii="Arial" w:hAnsi="Arial"/>
          <w:kern w:val="0"/>
          <w:sz w:val="28"/>
          <w:szCs w:val="20"/>
        </w:rPr>
        <w:t>RRC model</w:t>
      </w:r>
    </w:p>
    <w:p w14:paraId="19C91EA4" w14:textId="01C29D7A" w:rsidR="003E16F6" w:rsidRDefault="00C36350" w:rsidP="003E16F6">
      <w:pPr>
        <w:widowControl/>
        <w:spacing w:after="120" w:line="240" w:lineRule="atLeast"/>
        <w:rPr>
          <w:rFonts w:ascii="Arial" w:hAnsi="Arial"/>
          <w:kern w:val="0"/>
          <w:sz w:val="20"/>
          <w:szCs w:val="20"/>
        </w:rPr>
      </w:pPr>
      <w:r>
        <w:rPr>
          <w:rFonts w:ascii="Arial" w:hAnsi="Arial"/>
          <w:kern w:val="0"/>
          <w:sz w:val="20"/>
          <w:szCs w:val="20"/>
        </w:rPr>
        <w:t>In RAN2#119bis-e, the RRC models were discussed but there are still two options (model 1 and model 2) on the table. Since this is the basic part of LTM, this issue should be concluded in this meeting. Otherwise, RAN2 make a working assumption to use the model 1, as it does not need additional IE(s) for exi</w:t>
      </w:r>
      <w:r w:rsidR="000B1801">
        <w:rPr>
          <w:rFonts w:ascii="Arial" w:hAnsi="Arial"/>
          <w:kern w:val="0"/>
          <w:sz w:val="20"/>
          <w:szCs w:val="20"/>
        </w:rPr>
        <w:t>s</w:t>
      </w:r>
      <w:r>
        <w:rPr>
          <w:rFonts w:ascii="Arial" w:hAnsi="Arial"/>
          <w:kern w:val="0"/>
          <w:sz w:val="20"/>
          <w:szCs w:val="20"/>
        </w:rPr>
        <w:t>ting function (e.g. PDCP recovery), which may be needed in the model 2.</w:t>
      </w:r>
    </w:p>
    <w:p w14:paraId="6D9304EB" w14:textId="5EB6A572" w:rsidR="00C36350" w:rsidRPr="0076533F" w:rsidRDefault="00C36350" w:rsidP="003E16F6">
      <w:pPr>
        <w:widowControl/>
        <w:spacing w:after="120" w:line="240" w:lineRule="atLeast"/>
        <w:rPr>
          <w:rFonts w:ascii="Calibri" w:hAnsi="Calibri" w:cs="Calibri"/>
          <w:i/>
          <w:kern w:val="0"/>
          <w:szCs w:val="20"/>
        </w:rPr>
      </w:pPr>
      <w:r w:rsidRPr="0076533F">
        <w:rPr>
          <w:rFonts w:ascii="Calibri" w:hAnsi="Calibri" w:cs="Calibri"/>
          <w:i/>
          <w:kern w:val="0"/>
          <w:szCs w:val="20"/>
        </w:rPr>
        <w:lastRenderedPageBreak/>
        <w:t xml:space="preserve">Observation 1. </w:t>
      </w:r>
      <w:r w:rsidR="0076533F" w:rsidRPr="0076533F">
        <w:rPr>
          <w:rFonts w:ascii="Calibri" w:hAnsi="Calibri" w:cs="Calibri"/>
          <w:i/>
          <w:kern w:val="0"/>
          <w:szCs w:val="20"/>
        </w:rPr>
        <w:t>RRC model should be decided</w:t>
      </w:r>
      <w:r w:rsidR="0031524F">
        <w:rPr>
          <w:rFonts w:ascii="Calibri" w:hAnsi="Calibri" w:cs="Calibri"/>
          <w:i/>
          <w:kern w:val="0"/>
          <w:szCs w:val="20"/>
        </w:rPr>
        <w:t xml:space="preserve"> in this meeting</w:t>
      </w:r>
      <w:r w:rsidR="0076533F" w:rsidRPr="0076533F">
        <w:rPr>
          <w:rFonts w:ascii="Calibri" w:hAnsi="Calibri" w:cs="Calibri"/>
          <w:i/>
          <w:kern w:val="0"/>
          <w:szCs w:val="20"/>
        </w:rPr>
        <w:t>. Otherwise, the model 1 should be agreed as a working assumption.</w:t>
      </w:r>
    </w:p>
    <w:p w14:paraId="20991110" w14:textId="74F13546" w:rsidR="003E16F6" w:rsidRDefault="003E16F6" w:rsidP="003E16F6">
      <w:pPr>
        <w:widowControl/>
        <w:spacing w:after="120" w:line="240" w:lineRule="atLeast"/>
        <w:rPr>
          <w:rFonts w:ascii="Arial" w:hAnsi="Arial"/>
          <w:kern w:val="0"/>
          <w:sz w:val="20"/>
          <w:szCs w:val="20"/>
        </w:rPr>
      </w:pPr>
    </w:p>
    <w:p w14:paraId="6495B1AB" w14:textId="1BD370AB" w:rsidR="0031524F" w:rsidRDefault="00D01D72" w:rsidP="003E16F6">
      <w:pPr>
        <w:widowControl/>
        <w:spacing w:after="120" w:line="240" w:lineRule="atLeast"/>
        <w:rPr>
          <w:rFonts w:ascii="Arial" w:hAnsi="Arial"/>
          <w:kern w:val="0"/>
          <w:sz w:val="20"/>
          <w:szCs w:val="20"/>
        </w:rPr>
      </w:pPr>
      <w:r>
        <w:rPr>
          <w:rFonts w:ascii="Arial" w:hAnsi="Arial"/>
          <w:kern w:val="0"/>
          <w:sz w:val="20"/>
          <w:szCs w:val="20"/>
        </w:rPr>
        <w:t xml:space="preserve">Regarding the pros and cons of each model, they are already summarized in the table of post-119bis email discussion report [2] (and Annex below). Although both models have benefits, it seems </w:t>
      </w:r>
      <w:r w:rsidR="00C118CF">
        <w:rPr>
          <w:rFonts w:ascii="Arial" w:hAnsi="Arial"/>
          <w:kern w:val="0"/>
          <w:sz w:val="20"/>
          <w:szCs w:val="20"/>
        </w:rPr>
        <w:t>drawbacks are</w:t>
      </w:r>
      <w:r>
        <w:rPr>
          <w:rFonts w:ascii="Arial" w:hAnsi="Arial"/>
          <w:kern w:val="0"/>
          <w:sz w:val="20"/>
          <w:szCs w:val="20"/>
        </w:rPr>
        <w:t xml:space="preserve"> more important in introducing something new. In other words, it would be appropriate to select the model having better trade-off between</w:t>
      </w:r>
      <w:r w:rsidR="00C118CF">
        <w:rPr>
          <w:rFonts w:ascii="Arial" w:hAnsi="Arial"/>
          <w:kern w:val="0"/>
          <w:sz w:val="20"/>
          <w:szCs w:val="20"/>
        </w:rPr>
        <w:t xml:space="preserve"> </w:t>
      </w:r>
      <w:r>
        <w:rPr>
          <w:rFonts w:ascii="Arial" w:hAnsi="Arial"/>
          <w:kern w:val="0"/>
          <w:sz w:val="20"/>
          <w:szCs w:val="20"/>
        </w:rPr>
        <w:t>.</w:t>
      </w:r>
    </w:p>
    <w:p w14:paraId="128DA53F" w14:textId="1C4BF187" w:rsidR="0031524F" w:rsidRDefault="00BE3CC7" w:rsidP="003E16F6">
      <w:pPr>
        <w:widowControl/>
        <w:spacing w:after="120" w:line="240" w:lineRule="atLeast"/>
        <w:rPr>
          <w:rFonts w:ascii="Arial" w:hAnsi="Arial"/>
          <w:kern w:val="0"/>
          <w:sz w:val="20"/>
          <w:szCs w:val="20"/>
        </w:rPr>
      </w:pPr>
      <w:r>
        <w:rPr>
          <w:rFonts w:ascii="Arial" w:hAnsi="Arial" w:hint="eastAsia"/>
          <w:kern w:val="0"/>
          <w:sz w:val="20"/>
          <w:szCs w:val="20"/>
        </w:rPr>
        <w:t>F</w:t>
      </w:r>
      <w:r>
        <w:rPr>
          <w:rFonts w:ascii="Arial" w:hAnsi="Arial"/>
          <w:kern w:val="0"/>
          <w:sz w:val="20"/>
          <w:szCs w:val="20"/>
        </w:rPr>
        <w:t xml:space="preserve">or the model 1, the main </w:t>
      </w:r>
      <w:r w:rsidR="00C118CF">
        <w:rPr>
          <w:rFonts w:ascii="Arial" w:hAnsi="Arial"/>
          <w:kern w:val="0"/>
          <w:sz w:val="20"/>
          <w:szCs w:val="20"/>
        </w:rPr>
        <w:t xml:space="preserve">benefit is that a </w:t>
      </w:r>
      <w:r>
        <w:rPr>
          <w:rFonts w:ascii="Arial" w:hAnsi="Arial"/>
          <w:kern w:val="0"/>
          <w:sz w:val="20"/>
          <w:szCs w:val="20"/>
        </w:rPr>
        <w:t>similar approach to the condition</w:t>
      </w:r>
      <w:r w:rsidR="00C118CF">
        <w:rPr>
          <w:rFonts w:ascii="Arial" w:hAnsi="Arial"/>
          <w:kern w:val="0"/>
          <w:sz w:val="20"/>
          <w:szCs w:val="20"/>
        </w:rPr>
        <w:t xml:space="preserve">al mobility (e.g. CHO) can be expected with possible differences e.g. in details of delta configuration, while the main drawback is potential signalling overhead. Considering the previous agreement that no security update is supported in the LTM, RAN2 can consider to </w:t>
      </w:r>
      <w:r w:rsidR="003043F7">
        <w:rPr>
          <w:rFonts w:ascii="Arial" w:hAnsi="Arial"/>
          <w:kern w:val="0"/>
          <w:sz w:val="20"/>
          <w:szCs w:val="20"/>
        </w:rPr>
        <w:t xml:space="preserve">further </w:t>
      </w:r>
      <w:r w:rsidR="00C118CF">
        <w:rPr>
          <w:rFonts w:ascii="Arial" w:hAnsi="Arial"/>
          <w:kern w:val="0"/>
          <w:sz w:val="20"/>
          <w:szCs w:val="20"/>
        </w:rPr>
        <w:t>reduce signal</w:t>
      </w:r>
      <w:r w:rsidR="00185C7E">
        <w:rPr>
          <w:rFonts w:ascii="Arial" w:hAnsi="Arial"/>
          <w:kern w:val="0"/>
          <w:sz w:val="20"/>
          <w:szCs w:val="20"/>
        </w:rPr>
        <w:t xml:space="preserve">ling overhead, if some companies have strong concern on it. For example, we </w:t>
      </w:r>
      <w:r w:rsidR="007A3ABB">
        <w:rPr>
          <w:rFonts w:ascii="Arial" w:hAnsi="Arial"/>
          <w:kern w:val="0"/>
          <w:sz w:val="20"/>
          <w:szCs w:val="20"/>
        </w:rPr>
        <w:t xml:space="preserve">expect that </w:t>
      </w:r>
      <w:r w:rsidR="003043F7">
        <w:rPr>
          <w:rFonts w:ascii="Arial" w:hAnsi="Arial"/>
          <w:kern w:val="0"/>
          <w:sz w:val="20"/>
          <w:szCs w:val="20"/>
        </w:rPr>
        <w:t>there is no need for bearer ty</w:t>
      </w:r>
      <w:bookmarkStart w:id="1" w:name="_GoBack"/>
      <w:bookmarkEnd w:id="1"/>
      <w:r w:rsidR="003043F7">
        <w:rPr>
          <w:rFonts w:ascii="Arial" w:hAnsi="Arial"/>
          <w:kern w:val="0"/>
          <w:sz w:val="20"/>
          <w:szCs w:val="20"/>
        </w:rPr>
        <w:t>pe change during the LTM.</w:t>
      </w:r>
    </w:p>
    <w:p w14:paraId="0664C788" w14:textId="5DE58422" w:rsidR="00C118CF" w:rsidRDefault="0093698C" w:rsidP="003E16F6">
      <w:pPr>
        <w:widowControl/>
        <w:spacing w:after="120" w:line="240" w:lineRule="atLeast"/>
        <w:rPr>
          <w:rFonts w:ascii="Arial" w:hAnsi="Arial"/>
          <w:kern w:val="0"/>
          <w:sz w:val="20"/>
          <w:szCs w:val="20"/>
        </w:rPr>
      </w:pPr>
      <w:r>
        <w:rPr>
          <w:rFonts w:ascii="Arial" w:hAnsi="Arial" w:hint="eastAsia"/>
          <w:kern w:val="0"/>
          <w:sz w:val="20"/>
          <w:szCs w:val="20"/>
        </w:rPr>
        <w:t>F</w:t>
      </w:r>
      <w:r>
        <w:rPr>
          <w:rFonts w:ascii="Arial" w:hAnsi="Arial"/>
          <w:kern w:val="0"/>
          <w:sz w:val="20"/>
          <w:szCs w:val="20"/>
        </w:rPr>
        <w:t xml:space="preserve">or the model 2, the main benefit is to lower signalling overhead compared to the model 1. </w:t>
      </w:r>
      <w:r w:rsidR="002521FE">
        <w:rPr>
          <w:rFonts w:ascii="Arial" w:hAnsi="Arial"/>
          <w:kern w:val="0"/>
          <w:sz w:val="20"/>
          <w:szCs w:val="20"/>
        </w:rPr>
        <w:t>On the other hand</w:t>
      </w:r>
      <w:r>
        <w:rPr>
          <w:rFonts w:ascii="Arial" w:hAnsi="Arial"/>
          <w:kern w:val="0"/>
          <w:sz w:val="20"/>
          <w:szCs w:val="20"/>
        </w:rPr>
        <w:t xml:space="preserve">, there are some obvious drawbacks. The main drawback is lack of configurations needed in mobility, e.g. indication of PDCP recovery, measurement configuration and dedicated SIB1 delivery (essential for inter-DU case). Some companies considered those can be sent by defining new IEs but this seems unnecessary specification impact just to reduce some signalling overhead. </w:t>
      </w:r>
      <w:r w:rsidR="002F7ADB">
        <w:rPr>
          <w:rFonts w:ascii="Arial" w:hAnsi="Arial"/>
          <w:kern w:val="0"/>
          <w:sz w:val="20"/>
          <w:szCs w:val="20"/>
        </w:rPr>
        <w:t>The model 2 still need a lot of aspects to be clarified</w:t>
      </w:r>
      <w:r>
        <w:rPr>
          <w:rFonts w:ascii="Arial" w:hAnsi="Arial"/>
          <w:kern w:val="0"/>
          <w:sz w:val="20"/>
          <w:szCs w:val="20"/>
        </w:rPr>
        <w:t>.</w:t>
      </w:r>
      <w:r w:rsidR="002F7ADB">
        <w:rPr>
          <w:rFonts w:ascii="Arial" w:hAnsi="Arial"/>
          <w:kern w:val="0"/>
          <w:sz w:val="20"/>
          <w:szCs w:val="20"/>
        </w:rPr>
        <w:t xml:space="preserve"> </w:t>
      </w:r>
      <w:r w:rsidR="002521FE">
        <w:rPr>
          <w:rFonts w:ascii="Arial" w:hAnsi="Arial"/>
          <w:kern w:val="0"/>
          <w:sz w:val="20"/>
          <w:szCs w:val="20"/>
        </w:rPr>
        <w:t>However, even if further clarifications are done, it is doubtful to see the model 2 really achieve</w:t>
      </w:r>
      <w:r w:rsidR="00B2532E">
        <w:rPr>
          <w:rFonts w:ascii="Arial" w:hAnsi="Arial"/>
          <w:kern w:val="0"/>
          <w:sz w:val="20"/>
          <w:szCs w:val="20"/>
        </w:rPr>
        <w:t>s</w:t>
      </w:r>
      <w:r w:rsidR="002521FE">
        <w:rPr>
          <w:rFonts w:ascii="Arial" w:hAnsi="Arial"/>
          <w:kern w:val="0"/>
          <w:sz w:val="20"/>
          <w:szCs w:val="20"/>
        </w:rPr>
        <w:t xml:space="preserve"> better trade-off.</w:t>
      </w:r>
    </w:p>
    <w:p w14:paraId="4C67E556" w14:textId="55C2C737" w:rsidR="00C118CF" w:rsidRPr="002C6C08" w:rsidRDefault="002521FE" w:rsidP="003E16F6">
      <w:pPr>
        <w:widowControl/>
        <w:spacing w:after="120" w:line="240" w:lineRule="atLeast"/>
        <w:rPr>
          <w:rFonts w:ascii="Arial" w:hAnsi="Arial"/>
          <w:kern w:val="0"/>
          <w:sz w:val="20"/>
          <w:szCs w:val="20"/>
        </w:rPr>
      </w:pPr>
      <w:r>
        <w:rPr>
          <w:rFonts w:ascii="Arial" w:hAnsi="Arial" w:hint="eastAsia"/>
          <w:kern w:val="0"/>
          <w:sz w:val="20"/>
          <w:szCs w:val="20"/>
        </w:rPr>
        <w:t>B</w:t>
      </w:r>
      <w:r>
        <w:rPr>
          <w:rFonts w:ascii="Arial" w:hAnsi="Arial"/>
          <w:kern w:val="0"/>
          <w:sz w:val="20"/>
          <w:szCs w:val="20"/>
        </w:rPr>
        <w:t xml:space="preserve">ased on the observations above, it would be better choice to go with the model 1 at least as baseline. Regarding the FFS on whether it should be </w:t>
      </w:r>
      <w:r w:rsidRPr="00800C44">
        <w:rPr>
          <w:rFonts w:ascii="Arial" w:hAnsi="Arial"/>
          <w:i/>
          <w:kern w:val="0"/>
          <w:sz w:val="20"/>
          <w:szCs w:val="20"/>
        </w:rPr>
        <w:t>RRCReconfiguration</w:t>
      </w:r>
      <w:r>
        <w:rPr>
          <w:rFonts w:ascii="Arial" w:hAnsi="Arial"/>
          <w:kern w:val="0"/>
          <w:sz w:val="20"/>
          <w:szCs w:val="20"/>
        </w:rPr>
        <w:t xml:space="preserve"> message or IEs, </w:t>
      </w:r>
      <w:r w:rsidR="00800C44">
        <w:rPr>
          <w:rFonts w:ascii="Arial" w:hAnsi="Arial"/>
          <w:kern w:val="0"/>
          <w:sz w:val="20"/>
          <w:szCs w:val="20"/>
        </w:rPr>
        <w:t xml:space="preserve">it should be </w:t>
      </w:r>
      <w:r w:rsidR="00800C44" w:rsidRPr="00800C44">
        <w:rPr>
          <w:rFonts w:ascii="Arial" w:hAnsi="Arial"/>
          <w:i/>
          <w:kern w:val="0"/>
          <w:sz w:val="20"/>
          <w:szCs w:val="20"/>
        </w:rPr>
        <w:t>RRCReconfiguration</w:t>
      </w:r>
      <w:r w:rsidR="00800C44">
        <w:rPr>
          <w:rFonts w:ascii="Arial" w:hAnsi="Arial"/>
          <w:kern w:val="0"/>
          <w:sz w:val="20"/>
          <w:szCs w:val="20"/>
        </w:rPr>
        <w:t xml:space="preserve"> IEs, as the intention is to provide for each target candidate configuration.</w:t>
      </w:r>
    </w:p>
    <w:p w14:paraId="2B306802" w14:textId="68175EC1" w:rsidR="003E16F6" w:rsidRPr="002C6C08" w:rsidRDefault="003E16F6" w:rsidP="003E16F6">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1: </w:t>
      </w:r>
      <w:r w:rsidR="0031524F">
        <w:rPr>
          <w:rFonts w:ascii="Arial" w:hAnsi="Arial"/>
          <w:b/>
          <w:kern w:val="0"/>
          <w:sz w:val="20"/>
          <w:szCs w:val="20"/>
        </w:rPr>
        <w:t xml:space="preserve">RAN2 to agree to use the model 1, where </w:t>
      </w:r>
      <w:r w:rsidR="0031524F" w:rsidRPr="0031524F">
        <w:rPr>
          <w:rFonts w:ascii="Arial" w:hAnsi="Arial"/>
          <w:b/>
          <w:i/>
          <w:kern w:val="0"/>
          <w:sz w:val="20"/>
          <w:szCs w:val="20"/>
        </w:rPr>
        <w:t>RRCReconfiguration</w:t>
      </w:r>
      <w:r w:rsidR="0031524F">
        <w:rPr>
          <w:rFonts w:ascii="Arial" w:hAnsi="Arial"/>
          <w:b/>
          <w:kern w:val="0"/>
          <w:sz w:val="20"/>
          <w:szCs w:val="20"/>
        </w:rPr>
        <w:t xml:space="preserve"> IE is prepared for each candidate target configuration.</w:t>
      </w:r>
    </w:p>
    <w:p w14:paraId="7B12DC5B" w14:textId="77777777" w:rsidR="003E16F6" w:rsidRPr="002C6C08" w:rsidRDefault="003E16F6" w:rsidP="003E16F6">
      <w:pPr>
        <w:widowControl/>
        <w:spacing w:after="120" w:line="240" w:lineRule="atLeast"/>
        <w:rPr>
          <w:rFonts w:ascii="Arial" w:hAnsi="Arial"/>
          <w:kern w:val="0"/>
          <w:sz w:val="20"/>
          <w:szCs w:val="20"/>
        </w:rPr>
      </w:pPr>
    </w:p>
    <w:p w14:paraId="7DCFDAED" w14:textId="73444388" w:rsidR="00720DB2" w:rsidRPr="002C6C08" w:rsidRDefault="00720DB2" w:rsidP="00720DB2">
      <w:pPr>
        <w:widowControl/>
        <w:spacing w:after="120" w:line="240" w:lineRule="atLeast"/>
        <w:rPr>
          <w:rFonts w:ascii="Arial" w:hAnsi="Arial"/>
          <w:kern w:val="0"/>
          <w:sz w:val="28"/>
          <w:szCs w:val="20"/>
        </w:rPr>
      </w:pPr>
      <w:r>
        <w:rPr>
          <w:rFonts w:ascii="Arial" w:hAnsi="Arial" w:hint="eastAsia"/>
          <w:kern w:val="0"/>
          <w:sz w:val="28"/>
          <w:szCs w:val="20"/>
        </w:rPr>
        <w:t>2.</w:t>
      </w:r>
      <w:r>
        <w:rPr>
          <w:rFonts w:ascii="Arial" w:hAnsi="Arial"/>
          <w:kern w:val="0"/>
          <w:sz w:val="28"/>
          <w:szCs w:val="20"/>
        </w:rPr>
        <w:t>2</w:t>
      </w:r>
      <w:r>
        <w:rPr>
          <w:rFonts w:ascii="Arial" w:hAnsi="Arial" w:hint="eastAsia"/>
          <w:kern w:val="0"/>
          <w:sz w:val="28"/>
          <w:szCs w:val="20"/>
        </w:rPr>
        <w:tab/>
      </w:r>
      <w:r>
        <w:rPr>
          <w:rFonts w:ascii="Arial" w:hAnsi="Arial"/>
          <w:kern w:val="0"/>
          <w:sz w:val="28"/>
          <w:szCs w:val="20"/>
        </w:rPr>
        <w:t>Delta configurations</w:t>
      </w:r>
    </w:p>
    <w:p w14:paraId="2A0EB16E" w14:textId="330954EA" w:rsidR="00720DB2" w:rsidRPr="002C6C08" w:rsidRDefault="004D3BFF" w:rsidP="00720DB2">
      <w:pPr>
        <w:widowControl/>
        <w:spacing w:after="120" w:line="240" w:lineRule="atLeast"/>
        <w:rPr>
          <w:rFonts w:ascii="Arial" w:hAnsi="Arial"/>
          <w:kern w:val="0"/>
          <w:sz w:val="20"/>
          <w:szCs w:val="20"/>
        </w:rPr>
      </w:pPr>
      <w:r>
        <w:rPr>
          <w:rFonts w:ascii="Arial" w:hAnsi="Arial"/>
          <w:kern w:val="0"/>
          <w:sz w:val="20"/>
          <w:szCs w:val="20"/>
        </w:rPr>
        <w:t>As in the previous agreement</w:t>
      </w:r>
      <w:r w:rsidR="00E73A22">
        <w:rPr>
          <w:rFonts w:ascii="Arial" w:hAnsi="Arial"/>
          <w:kern w:val="0"/>
          <w:sz w:val="20"/>
          <w:szCs w:val="20"/>
        </w:rPr>
        <w:t xml:space="preserve">, the LTM </w:t>
      </w:r>
      <w:r w:rsidRPr="004D3BFF">
        <w:rPr>
          <w:rFonts w:ascii="Arial" w:hAnsi="Arial"/>
          <w:kern w:val="0"/>
          <w:sz w:val="20"/>
          <w:szCs w:val="20"/>
        </w:rPr>
        <w:t xml:space="preserve">will support </w:t>
      </w:r>
      <w:r w:rsidR="00E73A22">
        <w:rPr>
          <w:rFonts w:ascii="Arial" w:hAnsi="Arial"/>
          <w:kern w:val="0"/>
          <w:sz w:val="20"/>
          <w:szCs w:val="20"/>
        </w:rPr>
        <w:t xml:space="preserve">the </w:t>
      </w:r>
      <w:r w:rsidRPr="004D3BFF">
        <w:rPr>
          <w:rFonts w:ascii="Arial" w:hAnsi="Arial"/>
          <w:kern w:val="0"/>
          <w:sz w:val="20"/>
          <w:szCs w:val="20"/>
        </w:rPr>
        <w:t>delta configurations on top of a reference configuration.</w:t>
      </w:r>
      <w:r w:rsidR="00E73A22">
        <w:rPr>
          <w:rFonts w:ascii="Arial" w:hAnsi="Arial"/>
          <w:kern w:val="0"/>
          <w:sz w:val="20"/>
          <w:szCs w:val="20"/>
        </w:rPr>
        <w:t xml:space="preserve"> </w:t>
      </w:r>
      <w:r>
        <w:rPr>
          <w:rFonts w:ascii="Arial" w:hAnsi="Arial"/>
          <w:kern w:val="0"/>
          <w:sz w:val="20"/>
          <w:szCs w:val="20"/>
        </w:rPr>
        <w:t>Th</w:t>
      </w:r>
      <w:r w:rsidR="00E73A22">
        <w:rPr>
          <w:rFonts w:ascii="Arial" w:hAnsi="Arial"/>
          <w:kern w:val="0"/>
          <w:sz w:val="20"/>
          <w:szCs w:val="20"/>
        </w:rPr>
        <w:t xml:space="preserve">e current FFS point is </w:t>
      </w:r>
      <w:r w:rsidR="00172B59">
        <w:rPr>
          <w:rFonts w:ascii="Arial" w:hAnsi="Arial"/>
          <w:kern w:val="0"/>
          <w:sz w:val="20"/>
          <w:szCs w:val="20"/>
        </w:rPr>
        <w:t>the actual reference configuration. Although a new concept of separate reference configuration may be feasible, the current (original source) configuration is already to be shared with candidate target and thus it can be used as the reference. This would also be usefu</w:t>
      </w:r>
      <w:r w:rsidR="004666DC">
        <w:rPr>
          <w:rFonts w:ascii="Arial" w:hAnsi="Arial"/>
          <w:kern w:val="0"/>
          <w:sz w:val="20"/>
          <w:szCs w:val="20"/>
        </w:rPr>
        <w:t>l to reduce network signalling. We assume the current configuration can be used as the reference configuration for delta configuration.</w:t>
      </w:r>
    </w:p>
    <w:p w14:paraId="0A8669B6" w14:textId="2DA31BFE" w:rsidR="00720DB2" w:rsidRPr="002C6C08" w:rsidRDefault="00720DB2" w:rsidP="00720DB2">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2</w:t>
      </w:r>
      <w:r w:rsidR="004666DC">
        <w:rPr>
          <w:rFonts w:ascii="Arial" w:hAnsi="Arial" w:hint="eastAsia"/>
          <w:b/>
          <w:kern w:val="0"/>
          <w:sz w:val="20"/>
          <w:szCs w:val="20"/>
        </w:rPr>
        <w:t xml:space="preserve">: </w:t>
      </w:r>
      <w:r w:rsidR="004666DC">
        <w:rPr>
          <w:rFonts w:ascii="Arial" w:hAnsi="Arial"/>
          <w:b/>
          <w:kern w:val="0"/>
          <w:sz w:val="20"/>
          <w:szCs w:val="20"/>
        </w:rPr>
        <w:t xml:space="preserve">RAN2 to assume the current configuration can be used as the </w:t>
      </w:r>
      <w:r w:rsidR="004666DC" w:rsidRPr="004666DC">
        <w:rPr>
          <w:rFonts w:ascii="Arial" w:hAnsi="Arial"/>
          <w:b/>
          <w:kern w:val="0"/>
          <w:sz w:val="20"/>
          <w:szCs w:val="20"/>
        </w:rPr>
        <w:t>reference configuration for delta configuration</w:t>
      </w:r>
      <w:r w:rsidR="0075425C">
        <w:rPr>
          <w:rFonts w:ascii="Arial" w:hAnsi="Arial"/>
          <w:b/>
          <w:kern w:val="0"/>
          <w:sz w:val="20"/>
          <w:szCs w:val="20"/>
        </w:rPr>
        <w:t xml:space="preserve"> in LTM</w:t>
      </w:r>
      <w:r w:rsidR="004666DC">
        <w:rPr>
          <w:rFonts w:ascii="Arial" w:hAnsi="Arial"/>
          <w:b/>
          <w:kern w:val="0"/>
          <w:sz w:val="20"/>
          <w:szCs w:val="20"/>
        </w:rPr>
        <w:t>.</w:t>
      </w:r>
    </w:p>
    <w:p w14:paraId="1D9C81C7" w14:textId="5A6901AC" w:rsidR="003E16F6" w:rsidRDefault="003E16F6" w:rsidP="003E16F6">
      <w:pPr>
        <w:widowControl/>
        <w:spacing w:after="120" w:line="240" w:lineRule="atLeast"/>
        <w:rPr>
          <w:rFonts w:ascii="Arial" w:hAnsi="Arial"/>
          <w:kern w:val="0"/>
          <w:sz w:val="20"/>
          <w:szCs w:val="20"/>
        </w:rPr>
      </w:pPr>
    </w:p>
    <w:p w14:paraId="097209EA" w14:textId="7CF61F74" w:rsidR="002A4F2B" w:rsidRDefault="002A4F2B" w:rsidP="003E16F6">
      <w:pPr>
        <w:widowControl/>
        <w:spacing w:after="120" w:line="240" w:lineRule="atLeast"/>
        <w:rPr>
          <w:rFonts w:ascii="Arial" w:hAnsi="Arial"/>
          <w:kern w:val="0"/>
          <w:sz w:val="20"/>
          <w:szCs w:val="20"/>
        </w:rPr>
      </w:pPr>
      <w:r>
        <w:rPr>
          <w:rFonts w:ascii="Arial" w:hAnsi="Arial"/>
          <w:kern w:val="0"/>
          <w:sz w:val="20"/>
          <w:szCs w:val="20"/>
        </w:rPr>
        <w:t>With respect to the delta configuration</w:t>
      </w:r>
      <w:r w:rsidR="00F74567">
        <w:rPr>
          <w:rFonts w:ascii="Arial" w:hAnsi="Arial"/>
          <w:kern w:val="0"/>
          <w:sz w:val="20"/>
          <w:szCs w:val="20"/>
        </w:rPr>
        <w:t xml:space="preserve"> for subsequent mobility</w:t>
      </w:r>
      <w:r>
        <w:rPr>
          <w:rFonts w:ascii="Arial" w:hAnsi="Arial"/>
          <w:kern w:val="0"/>
          <w:sz w:val="20"/>
          <w:szCs w:val="20"/>
        </w:rPr>
        <w:t>, we assume the same way can be used for the select</w:t>
      </w:r>
      <w:r w:rsidR="00EF2138">
        <w:rPr>
          <w:rFonts w:ascii="Arial" w:hAnsi="Arial"/>
          <w:kern w:val="0"/>
          <w:sz w:val="20"/>
          <w:szCs w:val="20"/>
        </w:rPr>
        <w:t>ive activation of cell group, which is discussed in other contribution.</w:t>
      </w:r>
    </w:p>
    <w:p w14:paraId="52366128" w14:textId="0D85D568" w:rsidR="00D31C10" w:rsidRPr="00D31C10" w:rsidRDefault="00D31C10" w:rsidP="00D31C10">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2a</w:t>
      </w:r>
      <w:r>
        <w:rPr>
          <w:rFonts w:ascii="Arial" w:hAnsi="Arial" w:hint="eastAsia"/>
          <w:b/>
          <w:kern w:val="0"/>
          <w:sz w:val="20"/>
          <w:szCs w:val="20"/>
        </w:rPr>
        <w:t xml:space="preserve">: </w:t>
      </w:r>
      <w:r>
        <w:rPr>
          <w:rFonts w:ascii="Arial" w:hAnsi="Arial"/>
          <w:b/>
          <w:kern w:val="0"/>
          <w:sz w:val="20"/>
          <w:szCs w:val="20"/>
        </w:rPr>
        <w:t xml:space="preserve">RAN2 to assume same or similar approach can be considered for </w:t>
      </w:r>
      <w:r w:rsidR="004F6D56">
        <w:rPr>
          <w:rFonts w:ascii="Arial" w:hAnsi="Arial"/>
          <w:b/>
          <w:kern w:val="0"/>
          <w:sz w:val="20"/>
          <w:szCs w:val="20"/>
        </w:rPr>
        <w:t xml:space="preserve">delta configuration in </w:t>
      </w:r>
      <w:r>
        <w:rPr>
          <w:rFonts w:ascii="Arial" w:hAnsi="Arial"/>
          <w:b/>
          <w:kern w:val="0"/>
          <w:sz w:val="20"/>
          <w:szCs w:val="20"/>
        </w:rPr>
        <w:t>selective CG activation.</w:t>
      </w:r>
    </w:p>
    <w:p w14:paraId="7732F281" w14:textId="77777777" w:rsidR="002A4F2B" w:rsidRPr="002C6C08" w:rsidRDefault="002A4F2B" w:rsidP="003E16F6">
      <w:pPr>
        <w:widowControl/>
        <w:spacing w:after="120" w:line="240" w:lineRule="atLeast"/>
        <w:rPr>
          <w:rFonts w:ascii="Arial" w:hAnsi="Arial"/>
          <w:kern w:val="0"/>
          <w:sz w:val="20"/>
          <w:szCs w:val="20"/>
        </w:rPr>
      </w:pPr>
    </w:p>
    <w:p w14:paraId="12B81CEC" w14:textId="7C85D91A" w:rsidR="00ED0DC1" w:rsidRPr="002C6C08" w:rsidRDefault="00ED0DC1" w:rsidP="00ED0DC1">
      <w:pPr>
        <w:widowControl/>
        <w:spacing w:after="120" w:line="240" w:lineRule="atLeast"/>
        <w:rPr>
          <w:rFonts w:ascii="Arial" w:hAnsi="Arial"/>
          <w:kern w:val="0"/>
          <w:sz w:val="28"/>
          <w:szCs w:val="20"/>
        </w:rPr>
      </w:pPr>
      <w:r>
        <w:rPr>
          <w:rFonts w:ascii="Arial" w:hAnsi="Arial" w:hint="eastAsia"/>
          <w:kern w:val="0"/>
          <w:sz w:val="28"/>
          <w:szCs w:val="20"/>
        </w:rPr>
        <w:t>2.</w:t>
      </w:r>
      <w:r>
        <w:rPr>
          <w:rFonts w:ascii="Arial" w:hAnsi="Arial"/>
          <w:kern w:val="0"/>
          <w:sz w:val="28"/>
          <w:szCs w:val="20"/>
        </w:rPr>
        <w:t>3</w:t>
      </w:r>
      <w:r>
        <w:rPr>
          <w:rFonts w:ascii="Arial" w:hAnsi="Arial" w:hint="eastAsia"/>
          <w:kern w:val="0"/>
          <w:sz w:val="28"/>
          <w:szCs w:val="20"/>
        </w:rPr>
        <w:tab/>
      </w:r>
      <w:r>
        <w:rPr>
          <w:rFonts w:ascii="Arial" w:hAnsi="Arial"/>
          <w:kern w:val="0"/>
          <w:sz w:val="28"/>
          <w:szCs w:val="20"/>
        </w:rPr>
        <w:t>Decoding and compliance check</w:t>
      </w:r>
    </w:p>
    <w:p w14:paraId="442AC5E3" w14:textId="592A0F12" w:rsidR="00ED0DC1" w:rsidRPr="002C6C08" w:rsidRDefault="007D5BAB" w:rsidP="00ED0DC1">
      <w:pPr>
        <w:widowControl/>
        <w:spacing w:after="120" w:line="240" w:lineRule="atLeast"/>
        <w:rPr>
          <w:rFonts w:ascii="Arial" w:hAnsi="Arial"/>
          <w:kern w:val="0"/>
          <w:sz w:val="20"/>
          <w:szCs w:val="20"/>
        </w:rPr>
      </w:pPr>
      <w:r>
        <w:rPr>
          <w:rFonts w:ascii="Arial" w:hAnsi="Arial"/>
          <w:kern w:val="0"/>
          <w:sz w:val="20"/>
          <w:szCs w:val="20"/>
        </w:rPr>
        <w:t>In RAN2#119bis-e, it was also discussed whether</w:t>
      </w:r>
      <w:r w:rsidRPr="007D5BAB">
        <w:rPr>
          <w:rFonts w:ascii="Arial" w:hAnsi="Arial"/>
          <w:kern w:val="0"/>
          <w:sz w:val="20"/>
          <w:szCs w:val="20"/>
        </w:rPr>
        <w:t xml:space="preserve"> ASN.1 decoding and validity/compliance check of candidate cell configuration are performed upon reception of the can</w:t>
      </w:r>
      <w:r>
        <w:rPr>
          <w:rFonts w:ascii="Arial" w:hAnsi="Arial"/>
          <w:kern w:val="0"/>
          <w:sz w:val="20"/>
          <w:szCs w:val="20"/>
        </w:rPr>
        <w:t xml:space="preserve">didate cells configuration, which remains as FFS. The point here is that if we follow the conditional mobility in Rel-16/17, it is up to UE implementation exactly when it is performed. The reason was to avoid unnecessary failure indication. However, the LTM is intended only intra-CU scenarios and it is/should be much less possibility to (e.g.) excess UE capabilities. In addition, the intention behind the LTM is to extremely reduce mobility interruption. Therefore, if the possible latency reduction can be expected, RAN2 should take such way, i.e. </w:t>
      </w:r>
      <w:r w:rsidRPr="007D5BAB">
        <w:rPr>
          <w:rFonts w:ascii="Arial" w:hAnsi="Arial"/>
          <w:kern w:val="0"/>
          <w:sz w:val="20"/>
          <w:szCs w:val="20"/>
        </w:rPr>
        <w:t>ASN.1 decoding and validity/compliance check of candidate cell configuration are performed upon reception of the can</w:t>
      </w:r>
      <w:r>
        <w:rPr>
          <w:rFonts w:ascii="Arial" w:hAnsi="Arial"/>
          <w:kern w:val="0"/>
          <w:sz w:val="20"/>
          <w:szCs w:val="20"/>
        </w:rPr>
        <w:t>didate cells configuration.</w:t>
      </w:r>
    </w:p>
    <w:p w14:paraId="37F660EB" w14:textId="3E9A14BE" w:rsidR="00ED0DC1" w:rsidRPr="002C6C08" w:rsidRDefault="00ED0DC1" w:rsidP="00ED0DC1">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3</w:t>
      </w:r>
      <w:r w:rsidR="00D31C10">
        <w:rPr>
          <w:rFonts w:ascii="Arial" w:hAnsi="Arial" w:hint="eastAsia"/>
          <w:b/>
          <w:kern w:val="0"/>
          <w:sz w:val="20"/>
          <w:szCs w:val="20"/>
        </w:rPr>
        <w:t xml:space="preserve">: </w:t>
      </w:r>
      <w:r w:rsidR="00D31C10">
        <w:rPr>
          <w:rFonts w:ascii="Arial" w:hAnsi="Arial"/>
          <w:b/>
          <w:kern w:val="0"/>
          <w:sz w:val="20"/>
          <w:szCs w:val="20"/>
        </w:rPr>
        <w:t xml:space="preserve">RAN2 to agree that </w:t>
      </w:r>
      <w:r w:rsidR="00EA7370" w:rsidRPr="00EA7370">
        <w:rPr>
          <w:rFonts w:ascii="Arial" w:hAnsi="Arial"/>
          <w:b/>
          <w:kern w:val="0"/>
          <w:sz w:val="20"/>
          <w:szCs w:val="20"/>
        </w:rPr>
        <w:t>ASN.1 decoding and validity/compliance check of candidate cell configuration are performed upon reception of the candidate cells configuration</w:t>
      </w:r>
      <w:r w:rsidR="003F3BDF">
        <w:rPr>
          <w:rFonts w:ascii="Arial" w:hAnsi="Arial"/>
          <w:b/>
          <w:kern w:val="0"/>
          <w:sz w:val="20"/>
          <w:szCs w:val="20"/>
        </w:rPr>
        <w:t>.</w:t>
      </w:r>
    </w:p>
    <w:p w14:paraId="182B665E" w14:textId="77777777" w:rsidR="003E16F6" w:rsidRPr="002C6C08" w:rsidRDefault="003E16F6" w:rsidP="003E16F6">
      <w:pPr>
        <w:widowControl/>
        <w:spacing w:after="120" w:line="240" w:lineRule="atLeast"/>
        <w:rPr>
          <w:rFonts w:ascii="Arial" w:hAnsi="Arial"/>
          <w:kern w:val="0"/>
          <w:sz w:val="20"/>
          <w:szCs w:val="20"/>
        </w:rPr>
      </w:pPr>
    </w:p>
    <w:p w14:paraId="5402EB08" w14:textId="77777777" w:rsidR="003E16F6" w:rsidRPr="002C6C08" w:rsidRDefault="003E16F6" w:rsidP="003E16F6">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14:paraId="0EFF654E" w14:textId="2F375329" w:rsidR="003E16F6" w:rsidRPr="002C6C08" w:rsidRDefault="003E16F6" w:rsidP="003E16F6">
      <w:pPr>
        <w:widowControl/>
        <w:spacing w:line="240" w:lineRule="atLeast"/>
        <w:rPr>
          <w:rFonts w:ascii="Arial" w:eastAsia="Arial Unicode MS" w:hAnsi="Arial"/>
          <w:kern w:val="0"/>
          <w:sz w:val="20"/>
          <w:szCs w:val="20"/>
        </w:rPr>
      </w:pPr>
      <w:r w:rsidRPr="002C6C08">
        <w:rPr>
          <w:rFonts w:ascii="Arial" w:eastAsia="Arial Unicode MS" w:hAnsi="Arial" w:hint="eastAsia"/>
          <w:kern w:val="0"/>
          <w:sz w:val="20"/>
          <w:szCs w:val="20"/>
        </w:rPr>
        <w:t>In this contribution we discussed</w:t>
      </w:r>
      <w:r w:rsidR="00CB24CC">
        <w:rPr>
          <w:rFonts w:ascii="Arial" w:eastAsia="Arial Unicode MS" w:hAnsi="Arial"/>
          <w:kern w:val="0"/>
          <w:sz w:val="20"/>
          <w:szCs w:val="20"/>
        </w:rPr>
        <w:t xml:space="preserve"> the RRC model, delta configuration and ASN.1 decoding/compliance check. We reached the following proposals</w:t>
      </w:r>
      <w:r w:rsidRPr="002C6C08">
        <w:rPr>
          <w:rFonts w:ascii="Arial" w:eastAsia="Arial Unicode MS" w:hAnsi="Arial" w:hint="eastAsia"/>
          <w:kern w:val="0"/>
          <w:sz w:val="20"/>
          <w:szCs w:val="20"/>
        </w:rPr>
        <w:t>.</w:t>
      </w:r>
    </w:p>
    <w:p w14:paraId="41C5963E" w14:textId="787E27E7" w:rsidR="003E16F6" w:rsidRPr="002C6C08" w:rsidRDefault="003E16F6" w:rsidP="003E16F6">
      <w:pPr>
        <w:widowControl/>
        <w:spacing w:before="60" w:after="60" w:line="240" w:lineRule="atLeast"/>
        <w:rPr>
          <w:rFonts w:ascii="Arial" w:hAnsi="Arial"/>
          <w:b/>
          <w:kern w:val="0"/>
          <w:sz w:val="20"/>
          <w:szCs w:val="20"/>
        </w:rPr>
      </w:pPr>
      <w:r w:rsidRPr="002C6C08">
        <w:rPr>
          <w:rFonts w:ascii="Arial" w:hAnsi="Arial" w:hint="eastAsia"/>
          <w:b/>
          <w:kern w:val="0"/>
          <w:sz w:val="20"/>
          <w:szCs w:val="20"/>
        </w:rPr>
        <w:t xml:space="preserve"> </w:t>
      </w:r>
    </w:p>
    <w:p w14:paraId="6EB7301B" w14:textId="77777777" w:rsidR="00C96FF5" w:rsidRPr="002C6C08" w:rsidRDefault="00C96FF5" w:rsidP="00C96FF5">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1: </w:t>
      </w:r>
      <w:r>
        <w:rPr>
          <w:rFonts w:ascii="Arial" w:hAnsi="Arial"/>
          <w:b/>
          <w:kern w:val="0"/>
          <w:sz w:val="20"/>
          <w:szCs w:val="20"/>
        </w:rPr>
        <w:t xml:space="preserve">RAN2 to agree to use the model 1, where </w:t>
      </w:r>
      <w:r w:rsidRPr="0031524F">
        <w:rPr>
          <w:rFonts w:ascii="Arial" w:hAnsi="Arial"/>
          <w:b/>
          <w:i/>
          <w:kern w:val="0"/>
          <w:sz w:val="20"/>
          <w:szCs w:val="20"/>
        </w:rPr>
        <w:t>RRCReconfiguration</w:t>
      </w:r>
      <w:r>
        <w:rPr>
          <w:rFonts w:ascii="Arial" w:hAnsi="Arial"/>
          <w:b/>
          <w:kern w:val="0"/>
          <w:sz w:val="20"/>
          <w:szCs w:val="20"/>
        </w:rPr>
        <w:t xml:space="preserve"> IE is prepared for each candidate target configuration.</w:t>
      </w:r>
    </w:p>
    <w:p w14:paraId="556C949A" w14:textId="77777777" w:rsidR="00C96FF5" w:rsidRPr="002C6C08" w:rsidRDefault="00C96FF5" w:rsidP="00C96FF5">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2</w:t>
      </w:r>
      <w:r>
        <w:rPr>
          <w:rFonts w:ascii="Arial" w:hAnsi="Arial" w:hint="eastAsia"/>
          <w:b/>
          <w:kern w:val="0"/>
          <w:sz w:val="20"/>
          <w:szCs w:val="20"/>
        </w:rPr>
        <w:t xml:space="preserve">: </w:t>
      </w:r>
      <w:r>
        <w:rPr>
          <w:rFonts w:ascii="Arial" w:hAnsi="Arial"/>
          <w:b/>
          <w:kern w:val="0"/>
          <w:sz w:val="20"/>
          <w:szCs w:val="20"/>
        </w:rPr>
        <w:t xml:space="preserve">RAN2 to assume the current configuration can be used as the </w:t>
      </w:r>
      <w:r w:rsidRPr="004666DC">
        <w:rPr>
          <w:rFonts w:ascii="Arial" w:hAnsi="Arial"/>
          <w:b/>
          <w:kern w:val="0"/>
          <w:sz w:val="20"/>
          <w:szCs w:val="20"/>
        </w:rPr>
        <w:t>reference configuration for delta configuration</w:t>
      </w:r>
      <w:r>
        <w:rPr>
          <w:rFonts w:ascii="Arial" w:hAnsi="Arial"/>
          <w:b/>
          <w:kern w:val="0"/>
          <w:sz w:val="20"/>
          <w:szCs w:val="20"/>
        </w:rPr>
        <w:t xml:space="preserve"> in LTM.</w:t>
      </w:r>
    </w:p>
    <w:p w14:paraId="54219CF7" w14:textId="6789D9FC" w:rsidR="003E16F6" w:rsidRPr="002C6C08" w:rsidRDefault="00C96FF5" w:rsidP="0072230F">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2a</w:t>
      </w:r>
      <w:r>
        <w:rPr>
          <w:rFonts w:ascii="Arial" w:hAnsi="Arial" w:hint="eastAsia"/>
          <w:b/>
          <w:kern w:val="0"/>
          <w:sz w:val="20"/>
          <w:szCs w:val="20"/>
        </w:rPr>
        <w:t xml:space="preserve">: </w:t>
      </w:r>
      <w:r>
        <w:rPr>
          <w:rFonts w:ascii="Arial" w:hAnsi="Arial"/>
          <w:b/>
          <w:kern w:val="0"/>
          <w:sz w:val="20"/>
          <w:szCs w:val="20"/>
        </w:rPr>
        <w:t>RAN2 to assume same or similar approach can be considered for delta configuration in selective CG activation.</w:t>
      </w:r>
    </w:p>
    <w:p w14:paraId="74CF3875" w14:textId="77777777" w:rsidR="00C96FF5" w:rsidRPr="002C6C08" w:rsidRDefault="00C96FF5" w:rsidP="00C96FF5">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3</w:t>
      </w:r>
      <w:r>
        <w:rPr>
          <w:rFonts w:ascii="Arial" w:hAnsi="Arial" w:hint="eastAsia"/>
          <w:b/>
          <w:kern w:val="0"/>
          <w:sz w:val="20"/>
          <w:szCs w:val="20"/>
        </w:rPr>
        <w:t xml:space="preserve">: </w:t>
      </w:r>
      <w:r>
        <w:rPr>
          <w:rFonts w:ascii="Arial" w:hAnsi="Arial"/>
          <w:b/>
          <w:kern w:val="0"/>
          <w:sz w:val="20"/>
          <w:szCs w:val="20"/>
        </w:rPr>
        <w:t xml:space="preserve">RAN2 to agree that </w:t>
      </w:r>
      <w:r w:rsidRPr="00EA7370">
        <w:rPr>
          <w:rFonts w:ascii="Arial" w:hAnsi="Arial"/>
          <w:b/>
          <w:kern w:val="0"/>
          <w:sz w:val="20"/>
          <w:szCs w:val="20"/>
        </w:rPr>
        <w:t>ASN.1 decoding and validity/compliance check of candidate cell configuration are performed upon reception of the candidate cells configuration</w:t>
      </w:r>
      <w:r>
        <w:rPr>
          <w:rFonts w:ascii="Arial" w:hAnsi="Arial"/>
          <w:b/>
          <w:kern w:val="0"/>
          <w:sz w:val="20"/>
          <w:szCs w:val="20"/>
        </w:rPr>
        <w:t>.</w:t>
      </w:r>
    </w:p>
    <w:p w14:paraId="288FA4C5" w14:textId="77777777" w:rsidR="003E16F6" w:rsidRPr="002C6C08" w:rsidRDefault="003E16F6" w:rsidP="003E16F6">
      <w:pPr>
        <w:widowControl/>
        <w:spacing w:afterLines="25" w:after="60" w:line="240" w:lineRule="atLeast"/>
        <w:rPr>
          <w:rFonts w:ascii="Arial" w:hAnsi="Arial"/>
          <w:b/>
          <w:kern w:val="0"/>
          <w:sz w:val="20"/>
          <w:szCs w:val="20"/>
        </w:rPr>
      </w:pPr>
    </w:p>
    <w:p w14:paraId="29B0E8C4" w14:textId="77777777" w:rsidR="003E16F6" w:rsidRPr="002C6C08"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14:paraId="02DE80D2" w14:textId="2DAD134B" w:rsidR="003E16F6" w:rsidRPr="002C6C08" w:rsidRDefault="003E16F6" w:rsidP="003E16F6">
      <w:pPr>
        <w:widowControl/>
        <w:adjustRightInd w:val="0"/>
        <w:spacing w:line="240" w:lineRule="atLeast"/>
        <w:jc w:val="left"/>
        <w:rPr>
          <w:rFonts w:ascii="Arial" w:eastAsia="Arial Unicode MS" w:hAnsi="Arial"/>
          <w:kern w:val="0"/>
          <w:sz w:val="20"/>
          <w:szCs w:val="20"/>
        </w:rPr>
      </w:pPr>
      <w:r w:rsidRPr="002C6C08">
        <w:rPr>
          <w:rFonts w:ascii="Arial" w:eastAsia="Arial Unicode MS" w:hAnsi="Arial" w:hint="eastAsia"/>
          <w:kern w:val="0"/>
          <w:sz w:val="20"/>
          <w:szCs w:val="20"/>
        </w:rPr>
        <w:t xml:space="preserve">[1] </w:t>
      </w:r>
      <w:r w:rsidR="00FC1D83">
        <w:rPr>
          <w:rFonts w:ascii="Arial" w:eastAsia="Arial Unicode MS" w:hAnsi="Arial"/>
          <w:kern w:val="0"/>
          <w:sz w:val="20"/>
          <w:szCs w:val="20"/>
        </w:rPr>
        <w:t>RAN2#119bis-e Chairman notes</w:t>
      </w:r>
    </w:p>
    <w:p w14:paraId="2D00B50F" w14:textId="2C2439BE" w:rsidR="003E16F6" w:rsidRDefault="00720DB2" w:rsidP="003E16F6">
      <w:pPr>
        <w:widowControl/>
        <w:spacing w:line="240" w:lineRule="atLeast"/>
        <w:rPr>
          <w:rFonts w:ascii="Arial" w:eastAsia="Arial Unicode MS" w:hAnsi="Arial"/>
          <w:kern w:val="0"/>
          <w:sz w:val="20"/>
          <w:szCs w:val="20"/>
        </w:rPr>
      </w:pPr>
      <w:r>
        <w:rPr>
          <w:rFonts w:ascii="Arial" w:eastAsia="Arial Unicode MS" w:hAnsi="Arial" w:hint="eastAsia"/>
          <w:kern w:val="0"/>
          <w:sz w:val="20"/>
          <w:szCs w:val="20"/>
        </w:rPr>
        <w:t>[</w:t>
      </w:r>
      <w:r>
        <w:rPr>
          <w:rFonts w:ascii="Arial" w:eastAsia="Arial Unicode MS" w:hAnsi="Arial"/>
          <w:kern w:val="0"/>
          <w:sz w:val="20"/>
          <w:szCs w:val="20"/>
        </w:rPr>
        <w:t>2] R2-2210329, “</w:t>
      </w:r>
      <w:r w:rsidRPr="00720DB2">
        <w:rPr>
          <w:rFonts w:ascii="Arial" w:eastAsia="Arial Unicode MS" w:hAnsi="Arial"/>
          <w:kern w:val="0"/>
          <w:sz w:val="20"/>
          <w:szCs w:val="20"/>
        </w:rPr>
        <w:t>[Post119-e][048][feMob] Candidate target configurations for L1/L2 mobility</w:t>
      </w:r>
      <w:r>
        <w:rPr>
          <w:rFonts w:ascii="Arial" w:eastAsia="Arial Unicode MS" w:hAnsi="Arial"/>
          <w:kern w:val="0"/>
          <w:sz w:val="20"/>
          <w:szCs w:val="20"/>
        </w:rPr>
        <w:t xml:space="preserve">”, </w:t>
      </w:r>
      <w:r w:rsidRPr="00720DB2">
        <w:rPr>
          <w:rFonts w:ascii="Arial" w:eastAsia="Arial Unicode MS" w:hAnsi="Arial"/>
          <w:kern w:val="0"/>
          <w:sz w:val="20"/>
          <w:szCs w:val="20"/>
        </w:rPr>
        <w:t>Ericsson</w:t>
      </w:r>
    </w:p>
    <w:p w14:paraId="104A8490" w14:textId="77777777" w:rsidR="00720DB2" w:rsidRPr="002C6C08" w:rsidRDefault="00720DB2" w:rsidP="003E16F6">
      <w:pPr>
        <w:widowControl/>
        <w:spacing w:line="240" w:lineRule="atLeast"/>
        <w:rPr>
          <w:rFonts w:ascii="Arial" w:eastAsia="Arial Unicode MS" w:hAnsi="Arial"/>
          <w:kern w:val="0"/>
          <w:sz w:val="20"/>
          <w:szCs w:val="20"/>
        </w:rPr>
      </w:pPr>
    </w:p>
    <w:p w14:paraId="0F2EBFD8" w14:textId="3FEE0823" w:rsidR="003E16F6" w:rsidRPr="002C6C08"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Annex for reference</w:t>
      </w:r>
    </w:p>
    <w:p w14:paraId="0E63801C" w14:textId="24A6CE5F" w:rsidR="003E16F6" w:rsidRDefault="003E16F6" w:rsidP="003E16F6"/>
    <w:p w14:paraId="2E47D8B9" w14:textId="3A0EBCC9" w:rsidR="00C50291" w:rsidRDefault="00B440EB" w:rsidP="003E16F6">
      <w:pPr>
        <w:rPr>
          <w:rFonts w:ascii="Arial" w:hAnsi="Arial" w:cs="Arial"/>
        </w:rPr>
      </w:pPr>
      <w:r w:rsidRPr="00B440EB">
        <w:rPr>
          <w:rFonts w:ascii="Arial" w:hAnsi="Arial" w:cs="Arial"/>
        </w:rPr>
        <w:t xml:space="preserve">RAN2 understanding about RRC models </w:t>
      </w:r>
      <w:r w:rsidR="00C50291" w:rsidRPr="00B440EB">
        <w:rPr>
          <w:rFonts w:ascii="Arial" w:hAnsi="Arial" w:cs="Arial"/>
        </w:rPr>
        <w:t>[2]</w:t>
      </w:r>
      <w:r>
        <w:rPr>
          <w:rFonts w:ascii="Arial" w:hAnsi="Arial" w:cs="Arial"/>
        </w:rPr>
        <w:t>:</w:t>
      </w:r>
    </w:p>
    <w:p w14:paraId="626D4FF2" w14:textId="77777777" w:rsidR="00B440EB" w:rsidRPr="00B440EB" w:rsidRDefault="00B440EB" w:rsidP="003E16F6">
      <w:pPr>
        <w:rPr>
          <w:rFonts w:ascii="Arial" w:hAnsi="Arial" w:cs="Arial"/>
        </w:rPr>
      </w:pPr>
    </w:p>
    <w:tbl>
      <w:tblPr>
        <w:tblStyle w:val="GridTable4-Accent11"/>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0"/>
        <w:gridCol w:w="2853"/>
        <w:gridCol w:w="4991"/>
      </w:tblGrid>
      <w:tr w:rsidR="00A96111" w14:paraId="164DAA8F" w14:textId="77777777" w:rsidTr="005C494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0" w:type="dxa"/>
            <w:tcBorders>
              <w:top w:val="nil"/>
              <w:left w:val="nil"/>
              <w:bottom w:val="nil"/>
            </w:tcBorders>
          </w:tcPr>
          <w:p w14:paraId="5F08A7D4" w14:textId="77777777" w:rsidR="00A96111" w:rsidRDefault="00A96111" w:rsidP="005C4945">
            <w:pPr>
              <w:pStyle w:val="aa"/>
              <w:rPr>
                <w:b w:val="0"/>
                <w:bCs w:val="0"/>
              </w:rPr>
            </w:pPr>
            <w:r>
              <w:t>Model</w:t>
            </w:r>
          </w:p>
        </w:tc>
        <w:tc>
          <w:tcPr>
            <w:tcW w:w="2883" w:type="dxa"/>
            <w:tcBorders>
              <w:top w:val="nil"/>
              <w:bottom w:val="nil"/>
            </w:tcBorders>
          </w:tcPr>
          <w:p w14:paraId="6A1B5551" w14:textId="77777777" w:rsidR="00A96111" w:rsidRDefault="00A96111" w:rsidP="005C4945">
            <w:pPr>
              <w:pStyle w:val="aa"/>
              <w:cnfStyle w:val="100000000000" w:firstRow="1" w:lastRow="0" w:firstColumn="0" w:lastColumn="0" w:oddVBand="0" w:evenVBand="0" w:oddHBand="0" w:evenHBand="0" w:firstRowFirstColumn="0" w:firstRowLastColumn="0" w:lastRowFirstColumn="0" w:lastRowLastColumn="0"/>
              <w:rPr>
                <w:b w:val="0"/>
                <w:bCs w:val="0"/>
              </w:rPr>
            </w:pPr>
            <w:r>
              <w:t>Pros</w:t>
            </w:r>
          </w:p>
        </w:tc>
        <w:tc>
          <w:tcPr>
            <w:tcW w:w="5050" w:type="dxa"/>
            <w:tcBorders>
              <w:top w:val="nil"/>
              <w:bottom w:val="nil"/>
              <w:right w:val="nil"/>
            </w:tcBorders>
          </w:tcPr>
          <w:p w14:paraId="35A50215" w14:textId="77777777" w:rsidR="00A96111" w:rsidRDefault="00A96111" w:rsidP="005C4945">
            <w:pPr>
              <w:pStyle w:val="aa"/>
              <w:cnfStyle w:val="100000000000" w:firstRow="1" w:lastRow="0" w:firstColumn="0" w:lastColumn="0" w:oddVBand="0" w:evenVBand="0" w:oddHBand="0" w:evenHBand="0" w:firstRowFirstColumn="0" w:firstRowLastColumn="0" w:lastRowFirstColumn="0" w:lastRowLastColumn="0"/>
              <w:rPr>
                <w:b w:val="0"/>
                <w:bCs w:val="0"/>
              </w:rPr>
            </w:pPr>
            <w:r>
              <w:t>Cons</w:t>
            </w:r>
          </w:p>
        </w:tc>
      </w:tr>
      <w:tr w:rsidR="00A96111" w:rsidRPr="00B95CB1" w14:paraId="3717138F" w14:textId="77777777" w:rsidTr="005C4945">
        <w:tc>
          <w:tcPr>
            <w:cnfStyle w:val="001000000000" w:firstRow="0" w:lastRow="0" w:firstColumn="1" w:lastColumn="0" w:oddVBand="0" w:evenVBand="0" w:oddHBand="0" w:evenHBand="0" w:firstRowFirstColumn="0" w:firstRowLastColumn="0" w:lastRowFirstColumn="0" w:lastRowLastColumn="0"/>
            <w:tcW w:w="1790" w:type="dxa"/>
            <w:shd w:val="clear" w:color="auto" w:fill="auto"/>
          </w:tcPr>
          <w:p w14:paraId="3C94FC01" w14:textId="77777777" w:rsidR="00A96111" w:rsidRDefault="00A96111" w:rsidP="005C4945">
            <w:pPr>
              <w:pStyle w:val="aa"/>
              <w:rPr>
                <w:b w:val="0"/>
                <w:bCs w:val="0"/>
                <w:lang w:eastAsia="zh-TW"/>
              </w:rPr>
            </w:pPr>
            <w:r>
              <w:rPr>
                <w:lang w:eastAsia="zh-TW"/>
              </w:rPr>
              <w:t>Model 1</w:t>
            </w:r>
          </w:p>
          <w:p w14:paraId="3A9473DA" w14:textId="77777777" w:rsidR="00A96111" w:rsidRDefault="00A96111" w:rsidP="005C4945">
            <w:pPr>
              <w:pStyle w:val="aa"/>
              <w:rPr>
                <w:b w:val="0"/>
                <w:bCs w:val="0"/>
              </w:rPr>
            </w:pPr>
            <w:r w:rsidRPr="00240F2C">
              <w:rPr>
                <w:sz w:val="16"/>
                <w:szCs w:val="16"/>
                <w:lang w:eastAsia="zh-TW"/>
              </w:rPr>
              <w:t>(One RRCReconfiguration message (</w:t>
            </w:r>
            <w:r w:rsidRPr="00240F2C">
              <w:rPr>
                <w:i/>
                <w:iCs/>
                <w:sz w:val="16"/>
                <w:szCs w:val="16"/>
                <w:lang w:eastAsia="zh-TW"/>
              </w:rPr>
              <w:t>or FFS RRCReconfiguration IEs</w:t>
            </w:r>
            <w:r w:rsidRPr="00240F2C">
              <w:rPr>
                <w:sz w:val="16"/>
                <w:szCs w:val="16"/>
                <w:lang w:eastAsia="zh-TW"/>
              </w:rPr>
              <w:t>) for each candidate target configuration)</w:t>
            </w:r>
          </w:p>
        </w:tc>
        <w:tc>
          <w:tcPr>
            <w:tcW w:w="2883" w:type="dxa"/>
            <w:shd w:val="clear" w:color="auto" w:fill="auto"/>
          </w:tcPr>
          <w:p w14:paraId="6C2D4297" w14:textId="77777777" w:rsidR="00A96111" w:rsidRDefault="00A96111" w:rsidP="00A96111">
            <w:pPr>
              <w:pStyle w:val="aa"/>
              <w:widowControl/>
              <w:numPr>
                <w:ilvl w:val="0"/>
                <w:numId w:val="2"/>
              </w:numPr>
              <w:overflowPunct w:val="0"/>
              <w:autoSpaceDE w:val="0"/>
              <w:autoSpaceDN w:val="0"/>
              <w:adjustRightInd w:val="0"/>
              <w:spacing w:after="120"/>
              <w:ind w:left="171" w:hanging="171"/>
              <w:textAlignment w:val="baseline"/>
              <w:cnfStyle w:val="000000000000" w:firstRow="0" w:lastRow="0" w:firstColumn="0" w:lastColumn="0" w:oddVBand="0" w:evenVBand="0" w:oddHBand="0" w:evenHBand="0" w:firstRowFirstColumn="0" w:firstRowLastColumn="0" w:lastRowFirstColumn="0" w:lastRowLastColumn="0"/>
            </w:pPr>
            <w:r>
              <w:t>Full flexibility</w:t>
            </w:r>
          </w:p>
          <w:p w14:paraId="1F60973D" w14:textId="77777777" w:rsidR="00A96111" w:rsidRDefault="00A96111" w:rsidP="00A96111">
            <w:pPr>
              <w:pStyle w:val="aa"/>
              <w:widowControl/>
              <w:numPr>
                <w:ilvl w:val="0"/>
                <w:numId w:val="2"/>
              </w:numPr>
              <w:overflowPunct w:val="0"/>
              <w:autoSpaceDE w:val="0"/>
              <w:autoSpaceDN w:val="0"/>
              <w:adjustRightInd w:val="0"/>
              <w:spacing w:after="120"/>
              <w:ind w:left="171" w:hanging="171"/>
              <w:textAlignment w:val="baseline"/>
              <w:cnfStyle w:val="000000000000" w:firstRow="0" w:lastRow="0" w:firstColumn="0" w:lastColumn="0" w:oddVBand="0" w:evenVBand="0" w:oddHBand="0" w:evenHBand="0" w:firstRowFirstColumn="0" w:firstRowLastColumn="0" w:lastRowFirstColumn="0" w:lastRowLastColumn="0"/>
            </w:pPr>
            <w:r>
              <w:t>Support of all targeted scenarios</w:t>
            </w:r>
          </w:p>
          <w:p w14:paraId="5796C6B7" w14:textId="77777777" w:rsidR="00A96111" w:rsidRDefault="00A96111" w:rsidP="00A96111">
            <w:pPr>
              <w:pStyle w:val="aa"/>
              <w:widowControl/>
              <w:numPr>
                <w:ilvl w:val="0"/>
                <w:numId w:val="2"/>
              </w:numPr>
              <w:overflowPunct w:val="0"/>
              <w:autoSpaceDE w:val="0"/>
              <w:autoSpaceDN w:val="0"/>
              <w:adjustRightInd w:val="0"/>
              <w:spacing w:after="120"/>
              <w:ind w:left="171" w:hanging="171"/>
              <w:textAlignment w:val="baseline"/>
              <w:cnfStyle w:val="000000000000" w:firstRow="0" w:lastRow="0" w:firstColumn="0" w:lastColumn="0" w:oddVBand="0" w:evenVBand="0" w:oddHBand="0" w:evenHBand="0" w:firstRowFirstColumn="0" w:firstRowLastColumn="0" w:lastRowFirstColumn="0" w:lastRowLastColumn="0"/>
            </w:pPr>
            <w:r>
              <w:t>Similarities with the existing CHO framework</w:t>
            </w:r>
          </w:p>
          <w:p w14:paraId="4E52463A" w14:textId="77777777" w:rsidR="00A96111" w:rsidRDefault="00A96111" w:rsidP="005C4945">
            <w:pPr>
              <w:pStyle w:val="aa"/>
              <w:cnfStyle w:val="000000000000" w:firstRow="0" w:lastRow="0" w:firstColumn="0" w:lastColumn="0" w:oddVBand="0" w:evenVBand="0" w:oddHBand="0" w:evenHBand="0" w:firstRowFirstColumn="0" w:firstRowLastColumn="0" w:lastRowFirstColumn="0" w:lastRowLastColumn="0"/>
            </w:pPr>
          </w:p>
        </w:tc>
        <w:tc>
          <w:tcPr>
            <w:tcW w:w="5050" w:type="dxa"/>
            <w:shd w:val="clear" w:color="auto" w:fill="auto"/>
          </w:tcPr>
          <w:p w14:paraId="455D008D" w14:textId="77777777" w:rsidR="00A96111" w:rsidRDefault="00A96111" w:rsidP="00A96111">
            <w:pPr>
              <w:pStyle w:val="aa"/>
              <w:widowControl/>
              <w:numPr>
                <w:ilvl w:val="0"/>
                <w:numId w:val="2"/>
              </w:numPr>
              <w:overflowPunct w:val="0"/>
              <w:autoSpaceDE w:val="0"/>
              <w:autoSpaceDN w:val="0"/>
              <w:adjustRightInd w:val="0"/>
              <w:spacing w:after="120"/>
              <w:ind w:left="171" w:hanging="171"/>
              <w:textAlignment w:val="baseline"/>
              <w:cnfStyle w:val="000000000000" w:firstRow="0" w:lastRow="0" w:firstColumn="0" w:lastColumn="0" w:oddVBand="0" w:evenVBand="0" w:oddHBand="0" w:evenHBand="0" w:firstRowFirstColumn="0" w:firstRowLastColumn="0" w:lastRowFirstColumn="0" w:lastRowLastColumn="0"/>
            </w:pPr>
            <w:r>
              <w:t xml:space="preserve">Since only intra-CU scenario is considered, there may be no need to provide all configurations and field within the </w:t>
            </w:r>
            <w:r w:rsidRPr="00F15BA0">
              <w:rPr>
                <w:i/>
                <w:iCs/>
              </w:rPr>
              <w:t>RRCReconfiguration</w:t>
            </w:r>
            <w:r>
              <w:t xml:space="preserve"> message.</w:t>
            </w:r>
          </w:p>
          <w:p w14:paraId="1BEB0721" w14:textId="77777777" w:rsidR="00A96111" w:rsidRDefault="00A96111" w:rsidP="00A96111">
            <w:pPr>
              <w:pStyle w:val="aa"/>
              <w:widowControl/>
              <w:numPr>
                <w:ilvl w:val="0"/>
                <w:numId w:val="2"/>
              </w:numPr>
              <w:overflowPunct w:val="0"/>
              <w:autoSpaceDE w:val="0"/>
              <w:autoSpaceDN w:val="0"/>
              <w:adjustRightInd w:val="0"/>
              <w:spacing w:after="120"/>
              <w:ind w:left="171" w:hanging="171"/>
              <w:textAlignment w:val="baseline"/>
              <w:cnfStyle w:val="000000000000" w:firstRow="0" w:lastRow="0" w:firstColumn="0" w:lastColumn="0" w:oddVBand="0" w:evenVBand="0" w:oddHBand="0" w:evenHBand="0" w:firstRowFirstColumn="0" w:firstRowLastColumn="0" w:lastRowFirstColumn="0" w:lastRowLastColumn="0"/>
            </w:pPr>
            <w:r>
              <w:t>Existing RRC procedures may heavily impacted (specification efforts may not be minimal).</w:t>
            </w:r>
          </w:p>
          <w:p w14:paraId="227D31AA" w14:textId="77777777" w:rsidR="00A96111" w:rsidRDefault="00A96111" w:rsidP="00A96111">
            <w:pPr>
              <w:pStyle w:val="aa"/>
              <w:widowControl/>
              <w:numPr>
                <w:ilvl w:val="0"/>
                <w:numId w:val="2"/>
              </w:numPr>
              <w:overflowPunct w:val="0"/>
              <w:autoSpaceDE w:val="0"/>
              <w:autoSpaceDN w:val="0"/>
              <w:adjustRightInd w:val="0"/>
              <w:spacing w:after="120"/>
              <w:ind w:left="171" w:hanging="171"/>
              <w:textAlignment w:val="baseline"/>
              <w:cnfStyle w:val="000000000000" w:firstRow="0" w:lastRow="0" w:firstColumn="0" w:lastColumn="0" w:oddVBand="0" w:evenVBand="0" w:oddHBand="0" w:evenHBand="0" w:firstRowFirstColumn="0" w:firstRowLastColumn="0" w:lastRowFirstColumn="0" w:lastRowLastColumn="0"/>
            </w:pPr>
            <w:r>
              <w:t>Delta signalling may be needed (and needs to be discussed how to achieve it).</w:t>
            </w:r>
          </w:p>
          <w:p w14:paraId="37E714D5" w14:textId="77777777" w:rsidR="00A96111" w:rsidRPr="00B95CB1" w:rsidRDefault="00A96111" w:rsidP="00A96111">
            <w:pPr>
              <w:pStyle w:val="aa"/>
              <w:widowControl/>
              <w:numPr>
                <w:ilvl w:val="0"/>
                <w:numId w:val="2"/>
              </w:numPr>
              <w:overflowPunct w:val="0"/>
              <w:autoSpaceDE w:val="0"/>
              <w:autoSpaceDN w:val="0"/>
              <w:adjustRightInd w:val="0"/>
              <w:spacing w:after="120"/>
              <w:ind w:left="171" w:hanging="171"/>
              <w:textAlignment w:val="baseline"/>
              <w:cnfStyle w:val="000000000000" w:firstRow="0" w:lastRow="0" w:firstColumn="0" w:lastColumn="0" w:oddVBand="0" w:evenVBand="0" w:oddHBand="0" w:evenHBand="0" w:firstRowFirstColumn="0" w:firstRowLastColumn="0" w:lastRowFirstColumn="0" w:lastRowLastColumn="0"/>
            </w:pPr>
            <w:r>
              <w:t>Potentially longer latency due to the execution of some RRC procedures (e.g., radio bearers, security, L1/L2 processing).</w:t>
            </w:r>
          </w:p>
        </w:tc>
      </w:tr>
      <w:tr w:rsidR="00A96111" w:rsidRPr="00B95CB1" w14:paraId="750661E6" w14:textId="77777777" w:rsidTr="005C4945">
        <w:tc>
          <w:tcPr>
            <w:cnfStyle w:val="001000000000" w:firstRow="0" w:lastRow="0" w:firstColumn="1" w:lastColumn="0" w:oddVBand="0" w:evenVBand="0" w:oddHBand="0" w:evenHBand="0" w:firstRowFirstColumn="0" w:firstRowLastColumn="0" w:lastRowFirstColumn="0" w:lastRowLastColumn="0"/>
            <w:tcW w:w="1790" w:type="dxa"/>
            <w:shd w:val="clear" w:color="auto" w:fill="auto"/>
          </w:tcPr>
          <w:p w14:paraId="0B56292C" w14:textId="77777777" w:rsidR="00A96111" w:rsidRDefault="00A96111" w:rsidP="005C4945">
            <w:pPr>
              <w:pStyle w:val="aa"/>
              <w:rPr>
                <w:b w:val="0"/>
                <w:bCs w:val="0"/>
                <w:lang w:eastAsia="zh-TW"/>
              </w:rPr>
            </w:pPr>
            <w:r>
              <w:rPr>
                <w:lang w:eastAsia="zh-TW"/>
              </w:rPr>
              <w:t>Model 2</w:t>
            </w:r>
          </w:p>
          <w:p w14:paraId="037636C2" w14:textId="77777777" w:rsidR="00A96111" w:rsidRDefault="00A96111" w:rsidP="005C4945">
            <w:pPr>
              <w:pStyle w:val="aa"/>
              <w:rPr>
                <w:b w:val="0"/>
                <w:bCs w:val="0"/>
              </w:rPr>
            </w:pPr>
            <w:r w:rsidRPr="00240F2C">
              <w:rPr>
                <w:sz w:val="16"/>
                <w:szCs w:val="16"/>
                <w:lang w:eastAsia="zh-TW"/>
              </w:rPr>
              <w:t>(One CellGroupConfig IE (</w:t>
            </w:r>
            <w:r w:rsidRPr="00240F2C">
              <w:rPr>
                <w:i/>
                <w:iCs/>
                <w:sz w:val="16"/>
                <w:szCs w:val="16"/>
                <w:lang w:eastAsia="zh-TW"/>
              </w:rPr>
              <w:t>FFS additional IEs</w:t>
            </w:r>
            <w:r w:rsidRPr="00240F2C">
              <w:rPr>
                <w:sz w:val="16"/>
                <w:szCs w:val="16"/>
                <w:lang w:eastAsia="zh-TW"/>
              </w:rPr>
              <w:t>) for each candidate target configuration)</w:t>
            </w:r>
          </w:p>
        </w:tc>
        <w:tc>
          <w:tcPr>
            <w:tcW w:w="2883" w:type="dxa"/>
            <w:shd w:val="clear" w:color="auto" w:fill="auto"/>
          </w:tcPr>
          <w:p w14:paraId="691F65AC" w14:textId="77777777" w:rsidR="00A96111" w:rsidRDefault="00A96111" w:rsidP="00A96111">
            <w:pPr>
              <w:pStyle w:val="aa"/>
              <w:widowControl/>
              <w:numPr>
                <w:ilvl w:val="0"/>
                <w:numId w:val="2"/>
              </w:numPr>
              <w:overflowPunct w:val="0"/>
              <w:autoSpaceDE w:val="0"/>
              <w:autoSpaceDN w:val="0"/>
              <w:adjustRightInd w:val="0"/>
              <w:spacing w:after="120"/>
              <w:ind w:left="171" w:hanging="171"/>
              <w:textAlignment w:val="baseline"/>
              <w:cnfStyle w:val="000000000000" w:firstRow="0" w:lastRow="0" w:firstColumn="0" w:lastColumn="0" w:oddVBand="0" w:evenVBand="0" w:oddHBand="0" w:evenHBand="0" w:firstRowFirstColumn="0" w:firstRowLastColumn="0" w:lastRowFirstColumn="0" w:lastRowLastColumn="0"/>
            </w:pPr>
            <w:r>
              <w:t>Support for all targeted scenarios</w:t>
            </w:r>
          </w:p>
          <w:p w14:paraId="748C7656" w14:textId="77777777" w:rsidR="00A96111" w:rsidRDefault="00A96111" w:rsidP="00A96111">
            <w:pPr>
              <w:pStyle w:val="aa"/>
              <w:widowControl/>
              <w:numPr>
                <w:ilvl w:val="0"/>
                <w:numId w:val="2"/>
              </w:numPr>
              <w:overflowPunct w:val="0"/>
              <w:autoSpaceDE w:val="0"/>
              <w:autoSpaceDN w:val="0"/>
              <w:adjustRightInd w:val="0"/>
              <w:spacing w:after="120"/>
              <w:ind w:left="171" w:hanging="171"/>
              <w:textAlignment w:val="baseline"/>
              <w:cnfStyle w:val="000000000000" w:firstRow="0" w:lastRow="0" w:firstColumn="0" w:lastColumn="0" w:oddVBand="0" w:evenVBand="0" w:oddHBand="0" w:evenHBand="0" w:firstRowFirstColumn="0" w:firstRowLastColumn="0" w:lastRowFirstColumn="0" w:lastRowLastColumn="0"/>
            </w:pPr>
            <w:r>
              <w:t>Smaller signalling overhead compared to e.g., model 1.</w:t>
            </w:r>
          </w:p>
          <w:p w14:paraId="4BA4AEF0" w14:textId="77777777" w:rsidR="00A96111" w:rsidRDefault="00A96111" w:rsidP="00A96111">
            <w:pPr>
              <w:pStyle w:val="aa"/>
              <w:widowControl/>
              <w:numPr>
                <w:ilvl w:val="0"/>
                <w:numId w:val="2"/>
              </w:numPr>
              <w:overflowPunct w:val="0"/>
              <w:autoSpaceDE w:val="0"/>
              <w:autoSpaceDN w:val="0"/>
              <w:adjustRightInd w:val="0"/>
              <w:spacing w:after="120"/>
              <w:ind w:left="171" w:hanging="171"/>
              <w:textAlignment w:val="baseline"/>
              <w:cnfStyle w:val="000000000000" w:firstRow="0" w:lastRow="0" w:firstColumn="0" w:lastColumn="0" w:oddVBand="0" w:evenVBand="0" w:oddHBand="0" w:evenHBand="0" w:firstRowFirstColumn="0" w:firstRowLastColumn="0" w:lastRowFirstColumn="0" w:lastRowLastColumn="0"/>
            </w:pPr>
            <w:r>
              <w:t>Potentially reduced interruption time due to less time spent by the UE to execute non-necessary RRC procedures.</w:t>
            </w:r>
          </w:p>
          <w:p w14:paraId="07D80408" w14:textId="77777777" w:rsidR="00A96111" w:rsidRDefault="00A96111" w:rsidP="005C4945">
            <w:pPr>
              <w:pStyle w:val="aa"/>
              <w:cnfStyle w:val="000000000000" w:firstRow="0" w:lastRow="0" w:firstColumn="0" w:lastColumn="0" w:oddVBand="0" w:evenVBand="0" w:oddHBand="0" w:evenHBand="0" w:firstRowFirstColumn="0" w:firstRowLastColumn="0" w:lastRowFirstColumn="0" w:lastRowLastColumn="0"/>
            </w:pPr>
          </w:p>
        </w:tc>
        <w:tc>
          <w:tcPr>
            <w:tcW w:w="5050" w:type="dxa"/>
            <w:shd w:val="clear" w:color="auto" w:fill="auto"/>
          </w:tcPr>
          <w:p w14:paraId="051F6E64" w14:textId="77777777" w:rsidR="00A96111" w:rsidRDefault="00A96111" w:rsidP="00A96111">
            <w:pPr>
              <w:pStyle w:val="aa"/>
              <w:widowControl/>
              <w:numPr>
                <w:ilvl w:val="0"/>
                <w:numId w:val="2"/>
              </w:numPr>
              <w:overflowPunct w:val="0"/>
              <w:autoSpaceDE w:val="0"/>
              <w:autoSpaceDN w:val="0"/>
              <w:adjustRightInd w:val="0"/>
              <w:spacing w:after="120"/>
              <w:ind w:left="171" w:hanging="171"/>
              <w:textAlignment w:val="baseline"/>
              <w:cnfStyle w:val="000000000000" w:firstRow="0" w:lastRow="0" w:firstColumn="0" w:lastColumn="0" w:oddVBand="0" w:evenVBand="0" w:oddHBand="0" w:evenHBand="0" w:firstRowFirstColumn="0" w:firstRowLastColumn="0" w:lastRowFirstColumn="0" w:lastRowLastColumn="0"/>
            </w:pPr>
            <w:r>
              <w:lastRenderedPageBreak/>
              <w:t>How to perform L2 reset needs to be clarified</w:t>
            </w:r>
          </w:p>
          <w:p w14:paraId="21DAB0BF" w14:textId="77777777" w:rsidR="00A96111" w:rsidRDefault="00A96111" w:rsidP="00A96111">
            <w:pPr>
              <w:pStyle w:val="aa"/>
              <w:widowControl/>
              <w:numPr>
                <w:ilvl w:val="0"/>
                <w:numId w:val="2"/>
              </w:numPr>
              <w:overflowPunct w:val="0"/>
              <w:autoSpaceDE w:val="0"/>
              <w:autoSpaceDN w:val="0"/>
              <w:adjustRightInd w:val="0"/>
              <w:spacing w:after="120"/>
              <w:ind w:left="171" w:hanging="171"/>
              <w:textAlignment w:val="baseline"/>
              <w:cnfStyle w:val="000000000000" w:firstRow="0" w:lastRow="0" w:firstColumn="0" w:lastColumn="0" w:oddVBand="0" w:evenVBand="0" w:oddHBand="0" w:evenHBand="0" w:firstRowFirstColumn="0" w:firstRowLastColumn="0" w:lastRowFirstColumn="0" w:lastRowLastColumn="0"/>
            </w:pPr>
            <w:r>
              <w:t>A new procedure for L1/L2 mobility may be needed (but some companies do not consider this necessarily a con).</w:t>
            </w:r>
          </w:p>
          <w:p w14:paraId="5DBB4EA0" w14:textId="77777777" w:rsidR="00A96111" w:rsidRDefault="00A96111" w:rsidP="00A96111">
            <w:pPr>
              <w:pStyle w:val="aa"/>
              <w:widowControl/>
              <w:numPr>
                <w:ilvl w:val="0"/>
                <w:numId w:val="2"/>
              </w:numPr>
              <w:overflowPunct w:val="0"/>
              <w:autoSpaceDE w:val="0"/>
              <w:autoSpaceDN w:val="0"/>
              <w:adjustRightInd w:val="0"/>
              <w:spacing w:after="120"/>
              <w:ind w:left="171" w:hanging="171"/>
              <w:textAlignment w:val="baseline"/>
              <w:cnfStyle w:val="000000000000" w:firstRow="0" w:lastRow="0" w:firstColumn="0" w:lastColumn="0" w:oddVBand="0" w:evenVBand="0" w:oddHBand="0" w:evenHBand="0" w:firstRowFirstColumn="0" w:firstRowLastColumn="0" w:lastRowFirstColumn="0" w:lastRowLastColumn="0"/>
            </w:pPr>
            <w:r>
              <w:t>One CellGroupConfig for each L1/L2 mobility target configuration</w:t>
            </w:r>
          </w:p>
          <w:p w14:paraId="75C435A6" w14:textId="77777777" w:rsidR="00A96111" w:rsidRDefault="00A96111" w:rsidP="00A96111">
            <w:pPr>
              <w:pStyle w:val="aa"/>
              <w:widowControl/>
              <w:numPr>
                <w:ilvl w:val="0"/>
                <w:numId w:val="2"/>
              </w:numPr>
              <w:overflowPunct w:val="0"/>
              <w:autoSpaceDE w:val="0"/>
              <w:autoSpaceDN w:val="0"/>
              <w:adjustRightInd w:val="0"/>
              <w:spacing w:after="120"/>
              <w:ind w:left="171" w:hanging="171"/>
              <w:textAlignment w:val="baseline"/>
              <w:cnfStyle w:val="000000000000" w:firstRow="0" w:lastRow="0" w:firstColumn="0" w:lastColumn="0" w:oddVBand="0" w:evenVBand="0" w:oddHBand="0" w:evenHBand="0" w:firstRowFirstColumn="0" w:firstRowLastColumn="0" w:lastRowFirstColumn="0" w:lastRowLastColumn="0"/>
            </w:pPr>
            <w:r>
              <w:t>Configuration outside the CellGroupConfig may require a subsequent RRCReconfiguration message after the switch has happened.</w:t>
            </w:r>
          </w:p>
          <w:p w14:paraId="034B263B" w14:textId="77777777" w:rsidR="00A96111" w:rsidRPr="00B95CB1" w:rsidRDefault="00A96111" w:rsidP="00A96111">
            <w:pPr>
              <w:pStyle w:val="aa"/>
              <w:widowControl/>
              <w:numPr>
                <w:ilvl w:val="0"/>
                <w:numId w:val="2"/>
              </w:numPr>
              <w:overflowPunct w:val="0"/>
              <w:autoSpaceDE w:val="0"/>
              <w:autoSpaceDN w:val="0"/>
              <w:adjustRightInd w:val="0"/>
              <w:spacing w:after="120"/>
              <w:ind w:left="171" w:hanging="171"/>
              <w:textAlignment w:val="baseline"/>
              <w:cnfStyle w:val="000000000000" w:firstRow="0" w:lastRow="0" w:firstColumn="0" w:lastColumn="0" w:oddVBand="0" w:evenVBand="0" w:oddHBand="0" w:evenHBand="0" w:firstRowFirstColumn="0" w:firstRowLastColumn="0" w:lastRowFirstColumn="0" w:lastRowLastColumn="0"/>
            </w:pPr>
            <w:r>
              <w:lastRenderedPageBreak/>
              <w:t>Delta signalling may be needed (and needs to be discussed how to achieve it).</w:t>
            </w:r>
          </w:p>
        </w:tc>
      </w:tr>
      <w:tr w:rsidR="00960F06" w:rsidRPr="00B95CB1" w14:paraId="03B6BE96" w14:textId="77777777" w:rsidTr="005C4945">
        <w:tc>
          <w:tcPr>
            <w:cnfStyle w:val="001000000000" w:firstRow="0" w:lastRow="0" w:firstColumn="1" w:lastColumn="0" w:oddVBand="0" w:evenVBand="0" w:oddHBand="0" w:evenHBand="0" w:firstRowFirstColumn="0" w:firstRowLastColumn="0" w:lastRowFirstColumn="0" w:lastRowLastColumn="0"/>
            <w:tcW w:w="1790" w:type="dxa"/>
            <w:shd w:val="clear" w:color="auto" w:fill="auto"/>
          </w:tcPr>
          <w:p w14:paraId="11195273" w14:textId="77777777" w:rsidR="00CB0802" w:rsidRDefault="00CB0802" w:rsidP="00CB0802">
            <w:pPr>
              <w:pStyle w:val="aa"/>
              <w:rPr>
                <w:b w:val="0"/>
                <w:bCs w:val="0"/>
                <w:lang w:eastAsia="zh-TW"/>
              </w:rPr>
            </w:pPr>
            <w:r>
              <w:rPr>
                <w:lang w:eastAsia="zh-TW"/>
              </w:rPr>
              <w:lastRenderedPageBreak/>
              <w:t>Model 3</w:t>
            </w:r>
          </w:p>
          <w:p w14:paraId="586A8810" w14:textId="137CD13C" w:rsidR="00960F06" w:rsidRDefault="00CB0802" w:rsidP="00CB0802">
            <w:pPr>
              <w:pStyle w:val="aa"/>
              <w:rPr>
                <w:lang w:eastAsia="zh-TW"/>
              </w:rPr>
            </w:pPr>
            <w:r w:rsidRPr="00240F2C">
              <w:rPr>
                <w:sz w:val="16"/>
                <w:szCs w:val="16"/>
              </w:rPr>
              <w:t>(one SpCellConfig IE (and eventually SCellConfig IE) for each candidate target configuration)</w:t>
            </w:r>
          </w:p>
        </w:tc>
        <w:tc>
          <w:tcPr>
            <w:tcW w:w="2883" w:type="dxa"/>
            <w:shd w:val="clear" w:color="auto" w:fill="auto"/>
          </w:tcPr>
          <w:p w14:paraId="09F2BBD0" w14:textId="4CA7D187" w:rsidR="00960F06" w:rsidRDefault="00CB0802" w:rsidP="00A96111">
            <w:pPr>
              <w:pStyle w:val="aa"/>
              <w:widowControl/>
              <w:numPr>
                <w:ilvl w:val="0"/>
                <w:numId w:val="2"/>
              </w:numPr>
              <w:overflowPunct w:val="0"/>
              <w:autoSpaceDE w:val="0"/>
              <w:autoSpaceDN w:val="0"/>
              <w:adjustRightInd w:val="0"/>
              <w:spacing w:after="120"/>
              <w:ind w:left="171" w:hanging="171"/>
              <w:textAlignment w:val="baseline"/>
              <w:cnfStyle w:val="000000000000" w:firstRow="0" w:lastRow="0" w:firstColumn="0" w:lastColumn="0" w:oddVBand="0" w:evenVBand="0" w:oddHBand="0" w:evenHBand="0" w:firstRowFirstColumn="0" w:firstRowLastColumn="0" w:lastRowFirstColumn="0" w:lastRowLastColumn="0"/>
            </w:pPr>
            <w:r>
              <w:t>The smallest signalling overhead compared to the other models</w:t>
            </w:r>
          </w:p>
        </w:tc>
        <w:tc>
          <w:tcPr>
            <w:tcW w:w="5050" w:type="dxa"/>
            <w:shd w:val="clear" w:color="auto" w:fill="auto"/>
          </w:tcPr>
          <w:p w14:paraId="24FD3306" w14:textId="77777777" w:rsidR="00CB0802" w:rsidRDefault="00CB0802" w:rsidP="00CB0802">
            <w:pPr>
              <w:pStyle w:val="aa"/>
              <w:widowControl/>
              <w:numPr>
                <w:ilvl w:val="0"/>
                <w:numId w:val="2"/>
              </w:numPr>
              <w:overflowPunct w:val="0"/>
              <w:autoSpaceDE w:val="0"/>
              <w:autoSpaceDN w:val="0"/>
              <w:adjustRightInd w:val="0"/>
              <w:spacing w:after="120"/>
              <w:ind w:left="171" w:hanging="171"/>
              <w:textAlignment w:val="baseline"/>
              <w:cnfStyle w:val="000000000000" w:firstRow="0" w:lastRow="0" w:firstColumn="0" w:lastColumn="0" w:oddVBand="0" w:evenVBand="0" w:oddHBand="0" w:evenHBand="0" w:firstRowFirstColumn="0" w:firstRowLastColumn="0" w:lastRowFirstColumn="0" w:lastRowLastColumn="0"/>
            </w:pPr>
            <w:r>
              <w:t>Target scenarios not fully supported (i.e., no support for the inter-DU case).</w:t>
            </w:r>
          </w:p>
          <w:p w14:paraId="209B3F61" w14:textId="77777777" w:rsidR="00CB0802" w:rsidRDefault="00CB0802" w:rsidP="00CB0802">
            <w:pPr>
              <w:pStyle w:val="aa"/>
              <w:widowControl/>
              <w:numPr>
                <w:ilvl w:val="0"/>
                <w:numId w:val="2"/>
              </w:numPr>
              <w:overflowPunct w:val="0"/>
              <w:autoSpaceDE w:val="0"/>
              <w:autoSpaceDN w:val="0"/>
              <w:adjustRightInd w:val="0"/>
              <w:spacing w:after="120"/>
              <w:ind w:left="171" w:hanging="171"/>
              <w:textAlignment w:val="baseline"/>
              <w:cnfStyle w:val="000000000000" w:firstRow="0" w:lastRow="0" w:firstColumn="0" w:lastColumn="0" w:oddVBand="0" w:evenVBand="0" w:oddHBand="0" w:evenHBand="0" w:firstRowFirstColumn="0" w:firstRowLastColumn="0" w:lastRowFirstColumn="0" w:lastRowLastColumn="0"/>
            </w:pPr>
            <w:r>
              <w:t>How to perform L2 reset needs to be clarified</w:t>
            </w:r>
          </w:p>
          <w:p w14:paraId="7EDB29AD" w14:textId="77777777" w:rsidR="00CB0802" w:rsidRDefault="00CB0802" w:rsidP="00CB0802">
            <w:pPr>
              <w:pStyle w:val="aa"/>
              <w:widowControl/>
              <w:numPr>
                <w:ilvl w:val="0"/>
                <w:numId w:val="2"/>
              </w:numPr>
              <w:overflowPunct w:val="0"/>
              <w:autoSpaceDE w:val="0"/>
              <w:autoSpaceDN w:val="0"/>
              <w:adjustRightInd w:val="0"/>
              <w:spacing w:after="120"/>
              <w:ind w:left="171" w:hanging="171"/>
              <w:textAlignment w:val="baseline"/>
              <w:cnfStyle w:val="000000000000" w:firstRow="0" w:lastRow="0" w:firstColumn="0" w:lastColumn="0" w:oddVBand="0" w:evenVBand="0" w:oddHBand="0" w:evenHBand="0" w:firstRowFirstColumn="0" w:firstRowLastColumn="0" w:lastRowFirstColumn="0" w:lastRowLastColumn="0"/>
            </w:pPr>
            <w:r>
              <w:t>Little flexibility compared to the other models</w:t>
            </w:r>
          </w:p>
          <w:p w14:paraId="401BC08D" w14:textId="0D455A10" w:rsidR="00960F06" w:rsidRPr="00CB0802" w:rsidRDefault="00CB0802" w:rsidP="00CB0802">
            <w:pPr>
              <w:pStyle w:val="aa"/>
              <w:widowControl/>
              <w:numPr>
                <w:ilvl w:val="0"/>
                <w:numId w:val="2"/>
              </w:numPr>
              <w:overflowPunct w:val="0"/>
              <w:autoSpaceDE w:val="0"/>
              <w:autoSpaceDN w:val="0"/>
              <w:adjustRightInd w:val="0"/>
              <w:spacing w:after="120"/>
              <w:ind w:left="171" w:hanging="171"/>
              <w:textAlignment w:val="baseline"/>
              <w:cnfStyle w:val="000000000000" w:firstRow="0" w:lastRow="0" w:firstColumn="0" w:lastColumn="0" w:oddVBand="0" w:evenVBand="0" w:oddHBand="0" w:evenHBand="0" w:firstRowFirstColumn="0" w:firstRowLastColumn="0" w:lastRowFirstColumn="0" w:lastRowLastColumn="0"/>
            </w:pPr>
            <w:r>
              <w:t>Delta signalling may be needed (and needs to be discussed how to achieve it)</w:t>
            </w:r>
          </w:p>
        </w:tc>
      </w:tr>
    </w:tbl>
    <w:p w14:paraId="1A3667D3" w14:textId="006721F3" w:rsidR="003E16F6" w:rsidRDefault="003E16F6" w:rsidP="003E16F6"/>
    <w:p w14:paraId="0F8E0EC5" w14:textId="77777777" w:rsidR="00960F06" w:rsidRPr="003E16F6" w:rsidRDefault="00960F06" w:rsidP="003E16F6"/>
    <w:sectPr w:rsidR="00960F06" w:rsidRPr="003E16F6" w:rsidSect="0045260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E4C157" w14:textId="77777777" w:rsidR="007A0047" w:rsidRDefault="007A0047" w:rsidP="005F4664">
      <w:r>
        <w:separator/>
      </w:r>
    </w:p>
  </w:endnote>
  <w:endnote w:type="continuationSeparator" w:id="0">
    <w:p w14:paraId="58EDA8F4" w14:textId="77777777" w:rsidR="007A0047" w:rsidRDefault="007A0047"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PMingLiU">
    <w:altName w:val="Microsoft JhengHei"/>
    <w:panose1 w:val="02010601000101010101"/>
    <w:charset w:val="88"/>
    <w:family w:val="roman"/>
    <w:pitch w:val="variable"/>
    <w:sig w:usb0="00000000" w:usb1="28CFFCFA" w:usb2="00000016" w:usb3="00000000" w:csb0="00100001"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36D771" w14:textId="77777777" w:rsidR="007A0047" w:rsidRDefault="007A0047" w:rsidP="005F4664">
      <w:r>
        <w:separator/>
      </w:r>
    </w:p>
  </w:footnote>
  <w:footnote w:type="continuationSeparator" w:id="0">
    <w:p w14:paraId="2CFEE773" w14:textId="77777777" w:rsidR="007A0047" w:rsidRDefault="007A0047"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656FB0"/>
    <w:multiLevelType w:val="hybridMultilevel"/>
    <w:tmpl w:val="F2FAE87A"/>
    <w:lvl w:ilvl="0" w:tplc="C1706E3C">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trackRevision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16F13"/>
    <w:rsid w:val="000A024E"/>
    <w:rsid w:val="000A4792"/>
    <w:rsid w:val="000B1801"/>
    <w:rsid w:val="000C4A4F"/>
    <w:rsid w:val="00117E4C"/>
    <w:rsid w:val="001310F8"/>
    <w:rsid w:val="001504D8"/>
    <w:rsid w:val="001526ED"/>
    <w:rsid w:val="00172B59"/>
    <w:rsid w:val="00185C7E"/>
    <w:rsid w:val="001C1521"/>
    <w:rsid w:val="001D6661"/>
    <w:rsid w:val="001F4F8F"/>
    <w:rsid w:val="00234EBC"/>
    <w:rsid w:val="002521FE"/>
    <w:rsid w:val="0028555E"/>
    <w:rsid w:val="00291CA3"/>
    <w:rsid w:val="0029344A"/>
    <w:rsid w:val="00297E8B"/>
    <w:rsid w:val="002A4F2B"/>
    <w:rsid w:val="002A5EB2"/>
    <w:rsid w:val="002A7B1A"/>
    <w:rsid w:val="002B4437"/>
    <w:rsid w:val="002E4305"/>
    <w:rsid w:val="002F7ADB"/>
    <w:rsid w:val="003043F7"/>
    <w:rsid w:val="0031524F"/>
    <w:rsid w:val="00391CBE"/>
    <w:rsid w:val="003A2483"/>
    <w:rsid w:val="003C391C"/>
    <w:rsid w:val="003E16F6"/>
    <w:rsid w:val="003F3BDF"/>
    <w:rsid w:val="004623F9"/>
    <w:rsid w:val="004666DC"/>
    <w:rsid w:val="00485574"/>
    <w:rsid w:val="004C55F8"/>
    <w:rsid w:val="004C5CCB"/>
    <w:rsid w:val="004D0B78"/>
    <w:rsid w:val="004D3BFF"/>
    <w:rsid w:val="004F0F43"/>
    <w:rsid w:val="004F4AEC"/>
    <w:rsid w:val="004F6BB1"/>
    <w:rsid w:val="004F6D56"/>
    <w:rsid w:val="0050025E"/>
    <w:rsid w:val="00522CF1"/>
    <w:rsid w:val="00557EC8"/>
    <w:rsid w:val="005911B1"/>
    <w:rsid w:val="005D5E32"/>
    <w:rsid w:val="005F4664"/>
    <w:rsid w:val="006010B7"/>
    <w:rsid w:val="00614AF0"/>
    <w:rsid w:val="00636361"/>
    <w:rsid w:val="00647621"/>
    <w:rsid w:val="00667079"/>
    <w:rsid w:val="006736E7"/>
    <w:rsid w:val="00692BC2"/>
    <w:rsid w:val="00697F60"/>
    <w:rsid w:val="006B2E48"/>
    <w:rsid w:val="006F1C23"/>
    <w:rsid w:val="00717247"/>
    <w:rsid w:val="00720DB2"/>
    <w:rsid w:val="0072230F"/>
    <w:rsid w:val="007527C1"/>
    <w:rsid w:val="0075425C"/>
    <w:rsid w:val="0076533F"/>
    <w:rsid w:val="00770AE7"/>
    <w:rsid w:val="007A0047"/>
    <w:rsid w:val="007A3ABB"/>
    <w:rsid w:val="007C0139"/>
    <w:rsid w:val="007C42C0"/>
    <w:rsid w:val="007D5BAB"/>
    <w:rsid w:val="00800C44"/>
    <w:rsid w:val="00823FE6"/>
    <w:rsid w:val="00845173"/>
    <w:rsid w:val="008A53A6"/>
    <w:rsid w:val="008C3FA6"/>
    <w:rsid w:val="008D7675"/>
    <w:rsid w:val="0093698C"/>
    <w:rsid w:val="00960F06"/>
    <w:rsid w:val="009668AF"/>
    <w:rsid w:val="009A406E"/>
    <w:rsid w:val="009C37AF"/>
    <w:rsid w:val="009E16A2"/>
    <w:rsid w:val="00A13515"/>
    <w:rsid w:val="00A13A4F"/>
    <w:rsid w:val="00A17244"/>
    <w:rsid w:val="00A4027F"/>
    <w:rsid w:val="00A96111"/>
    <w:rsid w:val="00AA2B16"/>
    <w:rsid w:val="00AB5BBA"/>
    <w:rsid w:val="00AC736D"/>
    <w:rsid w:val="00B2532E"/>
    <w:rsid w:val="00B26B13"/>
    <w:rsid w:val="00B440EB"/>
    <w:rsid w:val="00B609F2"/>
    <w:rsid w:val="00B9710E"/>
    <w:rsid w:val="00BC7E1F"/>
    <w:rsid w:val="00BE3CC7"/>
    <w:rsid w:val="00BF06BC"/>
    <w:rsid w:val="00C0670F"/>
    <w:rsid w:val="00C118CF"/>
    <w:rsid w:val="00C36350"/>
    <w:rsid w:val="00C46F92"/>
    <w:rsid w:val="00C50291"/>
    <w:rsid w:val="00C65963"/>
    <w:rsid w:val="00C77650"/>
    <w:rsid w:val="00C96FF5"/>
    <w:rsid w:val="00CB0802"/>
    <w:rsid w:val="00CB24CC"/>
    <w:rsid w:val="00CE317C"/>
    <w:rsid w:val="00CE62F7"/>
    <w:rsid w:val="00D01D72"/>
    <w:rsid w:val="00D30A3E"/>
    <w:rsid w:val="00D31C10"/>
    <w:rsid w:val="00D723C1"/>
    <w:rsid w:val="00D80CE3"/>
    <w:rsid w:val="00E32A9C"/>
    <w:rsid w:val="00E401F2"/>
    <w:rsid w:val="00E5421E"/>
    <w:rsid w:val="00E73A22"/>
    <w:rsid w:val="00E80B41"/>
    <w:rsid w:val="00E864B6"/>
    <w:rsid w:val="00EA2016"/>
    <w:rsid w:val="00EA7370"/>
    <w:rsid w:val="00EB0333"/>
    <w:rsid w:val="00EB3620"/>
    <w:rsid w:val="00EC5ECC"/>
    <w:rsid w:val="00ED0DC1"/>
    <w:rsid w:val="00EF1D5E"/>
    <w:rsid w:val="00EF2138"/>
    <w:rsid w:val="00F1090E"/>
    <w:rsid w:val="00F637FF"/>
    <w:rsid w:val="00F7008C"/>
    <w:rsid w:val="00F74567"/>
    <w:rsid w:val="00F83DC7"/>
    <w:rsid w:val="00F94D97"/>
    <w:rsid w:val="00FA3970"/>
    <w:rsid w:val="00FC1D83"/>
    <w:rsid w:val="00FC1FF4"/>
    <w:rsid w:val="00FC33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EC0E924"/>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jc w:val="both"/>
    </w:pPr>
    <w:rPr>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5F4664"/>
    <w:pPr>
      <w:tabs>
        <w:tab w:val="center" w:pos="4252"/>
        <w:tab w:val="right" w:pos="8504"/>
      </w:tabs>
      <w:snapToGrid w:val="0"/>
    </w:pPr>
  </w:style>
  <w:style w:type="character" w:customStyle="1" w:styleId="a5">
    <w:name w:val="ヘッダー (文字)"/>
    <w:basedOn w:val="a1"/>
    <w:link w:val="a4"/>
    <w:uiPriority w:val="99"/>
    <w:rsid w:val="005F4664"/>
    <w:rPr>
      <w:lang w:val="en-GB"/>
    </w:rPr>
  </w:style>
  <w:style w:type="paragraph" w:styleId="a6">
    <w:name w:val="footer"/>
    <w:basedOn w:val="a0"/>
    <w:link w:val="a7"/>
    <w:uiPriority w:val="99"/>
    <w:unhideWhenUsed/>
    <w:rsid w:val="005F4664"/>
    <w:pPr>
      <w:tabs>
        <w:tab w:val="center" w:pos="4252"/>
        <w:tab w:val="right" w:pos="8504"/>
      </w:tabs>
      <w:snapToGrid w:val="0"/>
    </w:pPr>
  </w:style>
  <w:style w:type="character" w:customStyle="1" w:styleId="a7">
    <w:name w:val="フッター (文字)"/>
    <w:basedOn w:val="a1"/>
    <w:link w:val="a6"/>
    <w:uiPriority w:val="99"/>
    <w:rsid w:val="005F4664"/>
    <w:rPr>
      <w:lang w:val="en-GB"/>
    </w:rPr>
  </w:style>
  <w:style w:type="character" w:styleId="a8">
    <w:name w:val="Hyperlink"/>
    <w:basedOn w:val="a1"/>
    <w:uiPriority w:val="99"/>
    <w:unhideWhenUsed/>
    <w:rsid w:val="004F6BB1"/>
    <w:rPr>
      <w:color w:val="0563C1" w:themeColor="hyperlink"/>
      <w:u w:val="single"/>
    </w:rPr>
  </w:style>
  <w:style w:type="table" w:styleId="a9">
    <w:name w:val="Table Grid"/>
    <w:basedOn w:val="a2"/>
    <w:uiPriority w:val="39"/>
    <w:rsid w:val="00291C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0"/>
    <w:next w:val="a0"/>
    <w:qFormat/>
    <w:rsid w:val="00291CA3"/>
    <w:pPr>
      <w:widowControl/>
      <w:numPr>
        <w:numId w:val="1"/>
      </w:numPr>
      <w:tabs>
        <w:tab w:val="clear" w:pos="1352"/>
        <w:tab w:val="num" w:pos="1619"/>
      </w:tabs>
      <w:spacing w:before="60"/>
      <w:ind w:left="1619"/>
      <w:jc w:val="left"/>
    </w:pPr>
    <w:rPr>
      <w:rFonts w:ascii="Arial" w:eastAsia="ＭＳ 明朝" w:hAnsi="Arial" w:cs="Times New Roman"/>
      <w:b/>
      <w:kern w:val="0"/>
      <w:sz w:val="20"/>
      <w:szCs w:val="24"/>
      <w:lang w:eastAsia="en-GB"/>
    </w:rPr>
  </w:style>
  <w:style w:type="paragraph" w:styleId="aa">
    <w:name w:val="Body Text"/>
    <w:basedOn w:val="a0"/>
    <w:link w:val="ab"/>
    <w:unhideWhenUsed/>
    <w:rsid w:val="00A96111"/>
  </w:style>
  <w:style w:type="character" w:customStyle="1" w:styleId="ab">
    <w:name w:val="本文 (文字)"/>
    <w:basedOn w:val="a1"/>
    <w:link w:val="aa"/>
    <w:rsid w:val="00A96111"/>
    <w:rPr>
      <w:lang w:val="en-GB"/>
    </w:rPr>
  </w:style>
  <w:style w:type="table" w:customStyle="1" w:styleId="GridTable4-Accent11">
    <w:name w:val="Grid Table 4 - Accent 11"/>
    <w:basedOn w:val="a2"/>
    <w:uiPriority w:val="49"/>
    <w:qFormat/>
    <w:rsid w:val="00A96111"/>
    <w:pPr>
      <w:spacing w:after="160" w:line="259" w:lineRule="auto"/>
      <w:jc w:val="both"/>
    </w:pPr>
    <w:rPr>
      <w:rFonts w:ascii="CG Times (WN)" w:eastAsia="PMingLiU" w:hAnsi="CG Times (WN)" w:cs="Times New Roman"/>
      <w:kern w:val="0"/>
      <w:sz w:val="20"/>
      <w:szCs w:val="20"/>
      <w:lang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5">
    <w:name w:val="toc 5"/>
    <w:basedOn w:val="4"/>
    <w:next w:val="a0"/>
    <w:uiPriority w:val="39"/>
    <w:rsid w:val="00960F06"/>
    <w:pPr>
      <w:keepLines/>
      <w:tabs>
        <w:tab w:val="right" w:leader="dot" w:pos="9639"/>
      </w:tabs>
      <w:overflowPunct w:val="0"/>
      <w:autoSpaceDE w:val="0"/>
      <w:autoSpaceDN w:val="0"/>
      <w:adjustRightInd w:val="0"/>
      <w:spacing w:after="160" w:line="259" w:lineRule="auto"/>
      <w:ind w:leftChars="0" w:left="1701" w:right="425" w:hanging="1701"/>
      <w:textAlignment w:val="baseline"/>
    </w:pPr>
    <w:rPr>
      <w:rFonts w:ascii="Times New Roman" w:eastAsia="PMingLiU" w:hAnsi="Times New Roman" w:cs="Times New Roman"/>
      <w:kern w:val="0"/>
      <w:sz w:val="20"/>
      <w:szCs w:val="20"/>
    </w:rPr>
  </w:style>
  <w:style w:type="paragraph" w:styleId="4">
    <w:name w:val="toc 4"/>
    <w:basedOn w:val="a0"/>
    <w:next w:val="a0"/>
    <w:autoRedefine/>
    <w:uiPriority w:val="39"/>
    <w:semiHidden/>
    <w:unhideWhenUsed/>
    <w:rsid w:val="00960F06"/>
    <w:pPr>
      <w:ind w:leftChars="300" w:left="630"/>
    </w:pPr>
  </w:style>
  <w:style w:type="paragraph" w:styleId="a">
    <w:name w:val="List Number"/>
    <w:basedOn w:val="ac"/>
    <w:rsid w:val="00960F06"/>
    <w:pPr>
      <w:widowControl/>
      <w:numPr>
        <w:numId w:val="3"/>
      </w:numPr>
      <w:overflowPunct w:val="0"/>
      <w:autoSpaceDE w:val="0"/>
      <w:autoSpaceDN w:val="0"/>
      <w:adjustRightInd w:val="0"/>
      <w:spacing w:after="120" w:line="259" w:lineRule="auto"/>
      <w:ind w:left="720" w:firstLineChars="0" w:firstLine="0"/>
      <w:contextualSpacing w:val="0"/>
      <w:textAlignment w:val="baseline"/>
    </w:pPr>
    <w:rPr>
      <w:rFonts w:ascii="Arial" w:eastAsia="PMingLiU" w:hAnsi="Arial" w:cs="Times New Roman"/>
      <w:kern w:val="0"/>
      <w:sz w:val="20"/>
      <w:szCs w:val="20"/>
    </w:rPr>
  </w:style>
  <w:style w:type="paragraph" w:styleId="ac">
    <w:name w:val="List"/>
    <w:basedOn w:val="a0"/>
    <w:uiPriority w:val="99"/>
    <w:semiHidden/>
    <w:unhideWhenUsed/>
    <w:rsid w:val="00960F06"/>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B1AB922656DEB4CA6EED844A83B05DE" ma:contentTypeVersion="14" ma:contentTypeDescription="新しいドキュメントを作成します。" ma:contentTypeScope="" ma:versionID="c712b0c637310fa2fb460fe991cd0a4d">
  <xsd:schema xmlns:xsd="http://www.w3.org/2001/XMLSchema" xmlns:xs="http://www.w3.org/2001/XMLSchema" xmlns:p="http://schemas.microsoft.com/office/2006/metadata/properties" xmlns:ns3="c97e0742-dd27-4b4d-bbf1-a344ab06dcbb" xmlns:ns4="c84589b1-7dad-40f2-8b51-7d83b925f696" targetNamespace="http://schemas.microsoft.com/office/2006/metadata/properties" ma:root="true" ma:fieldsID="be8fd9b84938888cadd9d8f0ae72d950" ns3:_="" ns4:_="">
    <xsd:import namespace="c97e0742-dd27-4b4d-bbf1-a344ab06dcbb"/>
    <xsd:import namespace="c84589b1-7dad-40f2-8b51-7d83b925f696"/>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7e0742-dd27-4b4d-bbf1-a344ab06dc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84589b1-7dad-40f2-8b51-7d83b925f696"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SharingHintHash" ma:index="12" nillable="true" ma:displayName="共有のヒントのハッシュ"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91B0FC-561D-4E68-85A3-6BA73DFEC7F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FBE9C91-AD42-427A-B60C-FE689B6E45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7e0742-dd27-4b4d-bbf1-a344ab06dcbb"/>
    <ds:schemaRef ds:uri="c84589b1-7dad-40f2-8b51-7d83b925f6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C384A3-E3F1-43E5-9B54-F95E311D8F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569</TotalTime>
  <Pages>4</Pages>
  <Words>1407</Words>
  <Characters>8026</Characters>
  <Application>Microsoft Office Word</Application>
  <DocSecurity>0</DocSecurity>
  <Lines>66</Lines>
  <Paragraphs>18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75</cp:revision>
  <dcterms:created xsi:type="dcterms:W3CDTF">2022-10-31T00:43:00Z</dcterms:created>
  <dcterms:modified xsi:type="dcterms:W3CDTF">2022-11-04T06:33:00Z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0x0101004B1AB922656DEB4CA6EED844A83B05DE</vt:lpwstr>
  </property>
</Properties>
</file>